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1" w:rsidRDefault="003526A1" w:rsidP="00EC00EC">
      <w:pPr>
        <w:spacing w:line="480" w:lineRule="exact"/>
        <w:jc w:val="center"/>
        <w:rPr>
          <w:rFonts w:eastAsia="方正小标宋简体"/>
          <w:sz w:val="36"/>
          <w:szCs w:val="36"/>
        </w:rPr>
      </w:pPr>
    </w:p>
    <w:p w:rsidR="00EC00EC" w:rsidRPr="004E2BA1" w:rsidRDefault="00505A88" w:rsidP="00EC00EC">
      <w:pPr>
        <w:spacing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重点流域</w:t>
      </w:r>
      <w:r w:rsidR="009232EE">
        <w:rPr>
          <w:rFonts w:eastAsia="方正小标宋简体" w:hint="eastAsia"/>
          <w:sz w:val="36"/>
          <w:szCs w:val="36"/>
        </w:rPr>
        <w:t>水环境综合治理</w:t>
      </w:r>
      <w:r w:rsidR="00EC00EC" w:rsidRPr="004E2BA1">
        <w:rPr>
          <w:rFonts w:eastAsia="方正小标宋简体"/>
          <w:sz w:val="36"/>
          <w:szCs w:val="36"/>
        </w:rPr>
        <w:t>项目</w:t>
      </w:r>
      <w:r w:rsidR="000E3797">
        <w:rPr>
          <w:rFonts w:eastAsia="方正小标宋简体" w:hint="eastAsia"/>
          <w:sz w:val="36"/>
          <w:szCs w:val="36"/>
        </w:rPr>
        <w:t>类型及项目</w:t>
      </w:r>
      <w:r w:rsidR="00EC00EC" w:rsidRPr="004E2BA1">
        <w:rPr>
          <w:rFonts w:eastAsia="方正小标宋简体"/>
          <w:sz w:val="36"/>
          <w:szCs w:val="36"/>
        </w:rPr>
        <w:t>合理造价估算标准表</w:t>
      </w:r>
    </w:p>
    <w:p w:rsidR="00403260" w:rsidRDefault="00403260" w:rsidP="000E3797">
      <w:pPr>
        <w:jc w:val="center"/>
        <w:rPr>
          <w:rFonts w:ascii="黑体" w:eastAsia="黑体" w:hAnsi="黑体"/>
          <w:sz w:val="32"/>
          <w:szCs w:val="32"/>
        </w:rPr>
      </w:pPr>
    </w:p>
    <w:p w:rsidR="000E3797" w:rsidRPr="0063066B" w:rsidRDefault="00B727C6" w:rsidP="000E3797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表1</w:t>
      </w:r>
      <w:r w:rsidR="00E576B6">
        <w:rPr>
          <w:rFonts w:ascii="方正小标宋简体" w:eastAsia="方正小标宋简体" w:hint="eastAsia"/>
          <w:sz w:val="30"/>
          <w:szCs w:val="30"/>
        </w:rPr>
        <w:t xml:space="preserve"> </w:t>
      </w:r>
      <w:r w:rsidR="000E3797" w:rsidRPr="0063066B">
        <w:rPr>
          <w:rFonts w:ascii="方正小标宋简体" w:eastAsia="方正小标宋简体" w:hint="eastAsia"/>
          <w:sz w:val="30"/>
          <w:szCs w:val="30"/>
        </w:rPr>
        <w:t>河道（湖库）水环境综合治理工程合理造价估算标准</w:t>
      </w:r>
      <w:r w:rsidR="003F5158"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W w:w="14634" w:type="dxa"/>
        <w:jc w:val="center"/>
        <w:tblInd w:w="216" w:type="dxa"/>
        <w:tblLook w:val="04A0"/>
      </w:tblPr>
      <w:tblGrid>
        <w:gridCol w:w="1310"/>
        <w:gridCol w:w="2147"/>
        <w:gridCol w:w="1417"/>
        <w:gridCol w:w="1539"/>
        <w:gridCol w:w="1417"/>
        <w:gridCol w:w="1418"/>
        <w:gridCol w:w="1559"/>
        <w:gridCol w:w="1134"/>
        <w:gridCol w:w="1559"/>
        <w:gridCol w:w="1134"/>
      </w:tblGrid>
      <w:tr w:rsidR="000E3797" w:rsidRPr="00346F5D" w:rsidTr="00262E7B">
        <w:trPr>
          <w:trHeight w:val="871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7B" w:rsidRDefault="000E3797" w:rsidP="00EB61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城镇污水处理、提</w:t>
            </w:r>
          </w:p>
          <w:p w:rsidR="000E3797" w:rsidRPr="00346F5D" w:rsidRDefault="000E3797" w:rsidP="00EB61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标改造</w:t>
            </w:r>
            <w:proofErr w:type="gramEnd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和中水回用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EB61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污水管网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垃圾收运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F1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河道湖库</w:t>
            </w:r>
          </w:p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垃圾清理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0E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污染底</w:t>
            </w:r>
          </w:p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泥清理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人工湿地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0E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</w:t>
            </w:r>
          </w:p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生态隔离带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0E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</w:t>
            </w:r>
          </w:p>
          <w:p w:rsidR="000E3797" w:rsidRPr="00346F5D" w:rsidRDefault="000E3797" w:rsidP="00D17B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沟渠</w:t>
            </w:r>
          </w:p>
        </w:tc>
      </w:tr>
      <w:tr w:rsidR="000E3797" w:rsidRPr="00346F5D" w:rsidTr="00262E7B">
        <w:trPr>
          <w:trHeight w:val="406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估算标准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4A3F8A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见表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4.1</w:t>
            </w:r>
            <w:r w:rsidR="00945FA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  <w:r w:rsidR="00945FAF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A2" w:rsidRDefault="00944449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170</w:t>
            </w:r>
          </w:p>
          <w:p w:rsidR="000E3797" w:rsidRPr="00253FC1" w:rsidRDefault="00EB61B3" w:rsidP="001379A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9E0E7B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/(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9A2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500</w:t>
            </w:r>
          </w:p>
          <w:p w:rsidR="000E3797" w:rsidRPr="00253FC1" w:rsidRDefault="00D17BE0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万立方米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1500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300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D17B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30</w:t>
            </w:r>
            <w:r w:rsidR="00D17BE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万元/公里</w:t>
            </w:r>
          </w:p>
        </w:tc>
      </w:tr>
      <w:tr w:rsidR="000E3797" w:rsidRPr="00346F5D" w:rsidTr="00262E7B">
        <w:trPr>
          <w:trHeight w:val="398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D17BE0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0E3797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规模限额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万吨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75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吨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40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</w:tr>
    </w:tbl>
    <w:p w:rsidR="00EC0BA7" w:rsidRDefault="00EC0BA7" w:rsidP="000E3797">
      <w:pPr>
        <w:jc w:val="center"/>
        <w:rPr>
          <w:rFonts w:ascii="方正小标宋简体" w:eastAsia="方正小标宋简体"/>
          <w:sz w:val="30"/>
          <w:szCs w:val="30"/>
        </w:rPr>
      </w:pPr>
    </w:p>
    <w:p w:rsidR="000E3797" w:rsidRPr="0063066B" w:rsidRDefault="00E576B6" w:rsidP="000E3797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表2 </w:t>
      </w:r>
      <w:r w:rsidR="00870C2D" w:rsidRPr="00870C2D">
        <w:rPr>
          <w:rFonts w:ascii="方正小标宋简体" w:eastAsia="方正小标宋简体" w:hint="eastAsia"/>
          <w:sz w:val="30"/>
          <w:szCs w:val="30"/>
        </w:rPr>
        <w:t>城镇</w:t>
      </w:r>
      <w:r w:rsidR="00505A88" w:rsidRPr="0063066B">
        <w:rPr>
          <w:rFonts w:ascii="方正小标宋简体" w:eastAsia="方正小标宋简体" w:hint="eastAsia"/>
          <w:sz w:val="30"/>
          <w:szCs w:val="30"/>
        </w:rPr>
        <w:t>饮用水</w:t>
      </w:r>
      <w:r w:rsidR="000E3797" w:rsidRPr="0063066B">
        <w:rPr>
          <w:rFonts w:ascii="方正小标宋简体" w:eastAsia="方正小标宋简体"/>
          <w:sz w:val="30"/>
          <w:szCs w:val="30"/>
        </w:rPr>
        <w:t>水源地治理工程合理造价估算标准</w:t>
      </w:r>
      <w:r w:rsidR="003F5158">
        <w:rPr>
          <w:rFonts w:ascii="方正小标宋简体" w:eastAsia="方正小标宋简体"/>
          <w:sz w:val="30"/>
          <w:szCs w:val="30"/>
        </w:rPr>
        <w:t>表</w:t>
      </w:r>
    </w:p>
    <w:tbl>
      <w:tblPr>
        <w:tblW w:w="14573" w:type="dxa"/>
        <w:jc w:val="center"/>
        <w:tblInd w:w="1" w:type="dxa"/>
        <w:tblLook w:val="04A0"/>
      </w:tblPr>
      <w:tblGrid>
        <w:gridCol w:w="1362"/>
        <w:gridCol w:w="1203"/>
        <w:gridCol w:w="1429"/>
        <w:gridCol w:w="1718"/>
        <w:gridCol w:w="1967"/>
        <w:gridCol w:w="1511"/>
        <w:gridCol w:w="1427"/>
        <w:gridCol w:w="1740"/>
        <w:gridCol w:w="977"/>
        <w:gridCol w:w="1239"/>
      </w:tblGrid>
      <w:tr w:rsidR="00CE0C28" w:rsidRPr="001B6131" w:rsidTr="006624E9">
        <w:trPr>
          <w:trHeight w:val="1063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C919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污水管网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C919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垃圾收运</w:t>
            </w:r>
            <w:r w:rsidRPr="001B6131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C0E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河道湖库</w:t>
            </w:r>
          </w:p>
          <w:p w:rsidR="000E3797" w:rsidRPr="001B6131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垃圾清理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污染底泥清理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人工湿地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生态护岸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0E3797" w:rsidP="001379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生态隔离带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9905BD" w:rsidP="009905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1B6131" w:rsidRDefault="009905BD" w:rsidP="009905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生态沟渠</w:t>
            </w:r>
          </w:p>
        </w:tc>
      </w:tr>
      <w:tr w:rsidR="00CE0C28" w:rsidRPr="001B6131" w:rsidTr="006624E9">
        <w:trPr>
          <w:trHeight w:val="422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1B6131" w:rsidRDefault="009905BD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估算标准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170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1B613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1B6131">
              <w:rPr>
                <w:rFonts w:eastAsia="仿宋_GB2312"/>
                <w:color w:val="000000"/>
                <w:kern w:val="0"/>
                <w:sz w:val="24"/>
                <w:szCs w:val="24"/>
              </w:rPr>
              <w:t>/(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  <w:r w:rsidRPr="001B613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1B6131">
              <w:rPr>
                <w:rFonts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58262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500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D6A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</w:p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万立方米</w:t>
            </w:r>
            <w:proofErr w:type="gramEnd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1500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81D" w:rsidRDefault="009905BD" w:rsidP="0058262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</w:p>
          <w:p w:rsidR="009905BD" w:rsidRPr="00253FC1" w:rsidRDefault="009905BD" w:rsidP="0058262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58262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300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万元/公里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30</w:t>
            </w:r>
            <w:r w:rsidRPr="001B613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万元/公里</w:t>
            </w:r>
          </w:p>
        </w:tc>
      </w:tr>
      <w:tr w:rsidR="00CE0C28" w:rsidRPr="001B6131" w:rsidTr="006624E9">
        <w:trPr>
          <w:trHeight w:val="516"/>
          <w:jc w:val="center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1B6131" w:rsidRDefault="006D070D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规模限额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75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吨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40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D" w:rsidRPr="00253FC1" w:rsidRDefault="009905BD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</w:tr>
    </w:tbl>
    <w:p w:rsidR="000E3797" w:rsidRPr="000E3797" w:rsidRDefault="000E3797" w:rsidP="00EC00EC">
      <w:pPr>
        <w:jc w:val="center"/>
        <w:rPr>
          <w:rFonts w:ascii="方正小标宋简体" w:eastAsia="方正小标宋简体"/>
          <w:sz w:val="36"/>
          <w:szCs w:val="36"/>
        </w:rPr>
      </w:pPr>
    </w:p>
    <w:p w:rsidR="000E3797" w:rsidRPr="0063066B" w:rsidRDefault="00E576B6" w:rsidP="000E3797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表3 </w:t>
      </w:r>
      <w:r w:rsidR="000E3797" w:rsidRPr="0063066B">
        <w:rPr>
          <w:rFonts w:ascii="方正小标宋简体" w:eastAsia="方正小标宋简体"/>
          <w:sz w:val="30"/>
          <w:szCs w:val="30"/>
        </w:rPr>
        <w:t>生态廊道等流域可持续发展工程合理造价估算标准</w:t>
      </w:r>
      <w:r w:rsidR="003F5158">
        <w:rPr>
          <w:rFonts w:ascii="方正小标宋简体" w:eastAsia="方正小标宋简体"/>
          <w:sz w:val="30"/>
          <w:szCs w:val="30"/>
        </w:rPr>
        <w:t>表</w:t>
      </w:r>
    </w:p>
    <w:tbl>
      <w:tblPr>
        <w:tblW w:w="15089" w:type="dxa"/>
        <w:jc w:val="center"/>
        <w:tblInd w:w="-87" w:type="dxa"/>
        <w:tblLook w:val="04A0"/>
      </w:tblPr>
      <w:tblGrid>
        <w:gridCol w:w="1627"/>
        <w:gridCol w:w="2304"/>
        <w:gridCol w:w="1418"/>
        <w:gridCol w:w="1313"/>
        <w:gridCol w:w="1417"/>
        <w:gridCol w:w="1701"/>
        <w:gridCol w:w="1442"/>
        <w:gridCol w:w="1251"/>
        <w:gridCol w:w="1470"/>
        <w:gridCol w:w="1146"/>
      </w:tblGrid>
      <w:tr w:rsidR="000E3797" w:rsidRPr="00346F5D" w:rsidTr="006624E9">
        <w:trPr>
          <w:trHeight w:val="950"/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E7B" w:rsidRDefault="000E3797" w:rsidP="007D17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城镇污水处理、提</w:t>
            </w:r>
          </w:p>
          <w:p w:rsidR="000E3797" w:rsidRPr="00346F5D" w:rsidRDefault="000E3797" w:rsidP="007D17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标改造</w:t>
            </w:r>
            <w:proofErr w:type="gramEnd"/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和中水回用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9905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污水管网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垃圾收运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0F1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河道湖库</w:t>
            </w:r>
          </w:p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垃圾清理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污染底泥清理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人工湿地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生态护岸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0E3797" w:rsidP="00CB2E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生态隔离带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E9" w:rsidRDefault="000E3797" w:rsidP="00CB2E5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36B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生态</w:t>
            </w:r>
          </w:p>
          <w:p w:rsidR="000E3797" w:rsidRPr="00F36B8B" w:rsidRDefault="000E3797" w:rsidP="00CB2E5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36B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步道</w:t>
            </w:r>
          </w:p>
        </w:tc>
      </w:tr>
      <w:tr w:rsidR="00515148" w:rsidRPr="00346F5D" w:rsidTr="006624E9">
        <w:trPr>
          <w:trHeight w:val="443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346F5D" w:rsidRDefault="00515148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估算标准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148" w:rsidRPr="00253FC1" w:rsidRDefault="00945FAF" w:rsidP="00515148">
            <w:pPr>
              <w:jc w:val="center"/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见表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A2" w:rsidRDefault="00944449" w:rsidP="00515148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170</w:t>
            </w:r>
          </w:p>
          <w:p w:rsidR="00515148" w:rsidRPr="00253FC1" w:rsidRDefault="009905BD" w:rsidP="00515148">
            <w:pPr>
              <w:jc w:val="center"/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/(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D6A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500</w:t>
            </w:r>
          </w:p>
          <w:p w:rsidR="00515148" w:rsidRPr="00253FC1" w:rsidRDefault="00CB2E50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万立方米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1500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100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300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CB2E5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CB2E50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48" w:rsidRPr="00253FC1" w:rsidRDefault="00515148" w:rsidP="00062B86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sz w:val="24"/>
                <w:szCs w:val="24"/>
              </w:rPr>
              <w:t>1</w:t>
            </w:r>
            <w:r w:rsidR="00062B86">
              <w:rPr>
                <w:rFonts w:eastAsia="仿宋_GB2312" w:hint="eastAsia"/>
                <w:color w:val="000000"/>
                <w:sz w:val="24"/>
                <w:szCs w:val="24"/>
              </w:rPr>
              <w:t>2</w:t>
            </w:r>
            <w:r w:rsidRPr="00253FC1">
              <w:rPr>
                <w:rFonts w:eastAsia="仿宋_GB2312"/>
                <w:color w:val="000000"/>
                <w:sz w:val="24"/>
                <w:szCs w:val="24"/>
              </w:rPr>
              <w:t>0</w:t>
            </w:r>
            <w:r w:rsidR="00CB2E50" w:rsidRPr="00F36B8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万元/公里</w:t>
            </w:r>
          </w:p>
        </w:tc>
      </w:tr>
      <w:tr w:rsidR="000E3797" w:rsidRPr="00346F5D" w:rsidTr="006624E9">
        <w:trPr>
          <w:trHeight w:val="434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346F5D" w:rsidRDefault="006D070D" w:rsidP="00F2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  <w:r w:rsidR="000E3797" w:rsidRPr="00346F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规模限额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万吨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75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吨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万方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B727C6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  <w:r w:rsidR="000E3797"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40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E3797" w:rsidP="00F21A2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  <w:r w:rsidRPr="00253FC1">
              <w:rPr>
                <w:rFonts w:eastAsia="仿宋_GB2312"/>
                <w:color w:val="000000"/>
                <w:kern w:val="0"/>
                <w:sz w:val="24"/>
                <w:szCs w:val="24"/>
              </w:rPr>
              <w:t>平方公里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97" w:rsidRPr="00253FC1" w:rsidRDefault="00062B86" w:rsidP="00F21A2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8</w:t>
            </w:r>
            <w:r w:rsidR="000E3797" w:rsidRPr="00253FC1">
              <w:rPr>
                <w:rFonts w:eastAsia="仿宋_GB2312"/>
                <w:color w:val="000000"/>
                <w:sz w:val="24"/>
                <w:szCs w:val="24"/>
              </w:rPr>
              <w:t>0</w:t>
            </w:r>
            <w:r w:rsidR="000E3797" w:rsidRPr="00253FC1">
              <w:rPr>
                <w:rFonts w:eastAsia="仿宋_GB2312"/>
                <w:color w:val="000000"/>
                <w:sz w:val="24"/>
                <w:szCs w:val="24"/>
              </w:rPr>
              <w:t>公里</w:t>
            </w:r>
          </w:p>
        </w:tc>
      </w:tr>
    </w:tbl>
    <w:p w:rsidR="0044149E" w:rsidRDefault="0044149E" w:rsidP="005901A5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C00EC" w:rsidRPr="0063066B" w:rsidRDefault="00E576B6" w:rsidP="00EC00E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表4.1 </w:t>
      </w:r>
      <w:r w:rsidR="00EC00EC" w:rsidRPr="0063066B">
        <w:rPr>
          <w:rFonts w:ascii="方正小标宋简体" w:eastAsia="方正小标宋简体" w:hint="eastAsia"/>
          <w:sz w:val="30"/>
          <w:szCs w:val="30"/>
        </w:rPr>
        <w:t>污水处理工程合理造价估算标准</w:t>
      </w:r>
      <w:r w:rsidR="003F5158"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W w:w="15140" w:type="dxa"/>
        <w:jc w:val="center"/>
        <w:tblInd w:w="-268" w:type="dxa"/>
        <w:tblLayout w:type="fixed"/>
        <w:tblLook w:val="0000"/>
      </w:tblPr>
      <w:tblGrid>
        <w:gridCol w:w="1300"/>
        <w:gridCol w:w="992"/>
        <w:gridCol w:w="993"/>
        <w:gridCol w:w="692"/>
        <w:gridCol w:w="638"/>
        <w:gridCol w:w="657"/>
        <w:gridCol w:w="657"/>
        <w:gridCol w:w="641"/>
        <w:gridCol w:w="643"/>
        <w:gridCol w:w="657"/>
        <w:gridCol w:w="670"/>
        <w:gridCol w:w="672"/>
        <w:gridCol w:w="658"/>
        <w:gridCol w:w="641"/>
        <w:gridCol w:w="643"/>
        <w:gridCol w:w="643"/>
        <w:gridCol w:w="655"/>
        <w:gridCol w:w="672"/>
        <w:gridCol w:w="658"/>
        <w:gridCol w:w="670"/>
        <w:gridCol w:w="688"/>
      </w:tblGrid>
      <w:tr w:rsidR="00EC00EC" w:rsidRPr="004E2BA1" w:rsidTr="001379A2">
        <w:trPr>
          <w:trHeight w:val="311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26665B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污水管网</w:t>
            </w:r>
          </w:p>
        </w:tc>
        <w:tc>
          <w:tcPr>
            <w:tcW w:w="1185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356728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污水处理</w:t>
            </w:r>
            <w:r w:rsidR="00356728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(</w:t>
            </w:r>
            <w:r w:rsidR="00356728" w:rsidRPr="004E2BA1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="00356728" w:rsidRPr="004E2BA1">
              <w:rPr>
                <w:rFonts w:eastAsia="仿宋_GB2312"/>
                <w:kern w:val="0"/>
                <w:sz w:val="24"/>
                <w:szCs w:val="24"/>
              </w:rPr>
              <w:t>/(</w:t>
            </w:r>
            <w:r w:rsidR="00356728"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="00356728"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356728" w:rsidRPr="004E2BA1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="00356728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))</w:t>
            </w:r>
          </w:p>
        </w:tc>
      </w:tr>
      <w:tr w:rsidR="00EC00EC" w:rsidRPr="004E2BA1" w:rsidTr="001379A2">
        <w:trPr>
          <w:trHeight w:val="591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县级及以下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0.2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proofErr w:type="gramStart"/>
            <w:r w:rsidRPr="004E2BA1">
              <w:rPr>
                <w:rFonts w:eastAsia="仿宋_GB2312"/>
                <w:kern w:val="0"/>
                <w:sz w:val="24"/>
                <w:szCs w:val="24"/>
              </w:rPr>
              <w:t>日以下</w:t>
            </w:r>
            <w:proofErr w:type="gramEnd"/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0.2-0.5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日（含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0.2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0.5-1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(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含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0.5)</w:t>
            </w:r>
          </w:p>
        </w:tc>
        <w:tc>
          <w:tcPr>
            <w:tcW w:w="39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1-3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日（含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日及以上</w:t>
            </w:r>
          </w:p>
        </w:tc>
      </w:tr>
      <w:tr w:rsidR="001379A2" w:rsidRPr="004E2BA1" w:rsidTr="001379A2">
        <w:trPr>
          <w:trHeight w:val="608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0.1</w:t>
            </w:r>
            <w:r w:rsidRPr="004E2BA1">
              <w:rPr>
                <w:rFonts w:eastAsia="仿宋_GB2312"/>
                <w:kern w:val="0"/>
                <w:szCs w:val="21"/>
              </w:rPr>
              <w:t>以下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0.1-0.2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0.2-0.3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0.3-0.4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0.4-0.5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0.5-0.6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0.6-0.7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0.7-0.8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0.8-0.9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0.9-1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1-1.25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1.25-1.5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1.5-1.75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1.75-2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2-</w:t>
            </w:r>
          </w:p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2.5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2.5-3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3-4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4</w:t>
            </w:r>
            <w:r w:rsidRPr="004E2BA1">
              <w:rPr>
                <w:rFonts w:eastAsia="仿宋_GB2312"/>
                <w:kern w:val="0"/>
                <w:szCs w:val="21"/>
              </w:rPr>
              <w:t>以上</w:t>
            </w:r>
          </w:p>
        </w:tc>
      </w:tr>
      <w:tr w:rsidR="001379A2" w:rsidRPr="004E2BA1" w:rsidTr="001379A2">
        <w:trPr>
          <w:trHeight w:val="51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EC" w:rsidRPr="004E2BA1" w:rsidRDefault="00EC00EC" w:rsidP="0044149E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估算标准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79A2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170</w:t>
            </w:r>
          </w:p>
          <w:p w:rsidR="00EC00EC" w:rsidRPr="004E2BA1" w:rsidRDefault="006D070D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万元</w:t>
            </w:r>
            <w:r w:rsidR="0026665B"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26665B"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7600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7200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6400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5600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5200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4800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4400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4000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3900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3800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3600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3300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3000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2800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2600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2400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2100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4E2BA1">
              <w:rPr>
                <w:rFonts w:eastAsia="仿宋_GB2312"/>
                <w:kern w:val="0"/>
                <w:szCs w:val="21"/>
              </w:rPr>
              <w:t>2000</w:t>
            </w:r>
            <w:r w:rsidR="006D070D"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</w:tr>
      <w:tr w:rsidR="00EC00EC" w:rsidRPr="004E2BA1" w:rsidTr="001379A2">
        <w:trPr>
          <w:trHeight w:val="80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3FA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管网长</w:t>
            </w:r>
          </w:p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度限额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里"/>
              </w:smartTagPr>
              <w:r w:rsidRPr="004E2BA1">
                <w:rPr>
                  <w:rFonts w:eastAsia="仿宋_GB2312"/>
                  <w:kern w:val="0"/>
                  <w:sz w:val="24"/>
                  <w:szCs w:val="24"/>
                </w:rPr>
                <w:t>50</w:t>
              </w:r>
              <w:r w:rsidRPr="004E2BA1">
                <w:rPr>
                  <w:rFonts w:eastAsia="仿宋_GB2312"/>
                  <w:kern w:val="0"/>
                  <w:sz w:val="24"/>
                  <w:szCs w:val="24"/>
                </w:rPr>
                <w:t>公里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1379A2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75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15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15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25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39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50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75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公里</w:t>
            </w:r>
          </w:p>
        </w:tc>
      </w:tr>
    </w:tbl>
    <w:p w:rsidR="001379A2" w:rsidRDefault="001379A2" w:rsidP="00EC00EC">
      <w:pPr>
        <w:jc w:val="center"/>
        <w:rPr>
          <w:rFonts w:ascii="方正小标宋简体" w:eastAsia="方正小标宋简体"/>
          <w:sz w:val="30"/>
          <w:szCs w:val="30"/>
        </w:rPr>
      </w:pPr>
    </w:p>
    <w:p w:rsidR="00EC00EC" w:rsidRPr="0063066B" w:rsidRDefault="00E576B6" w:rsidP="00EC00E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lastRenderedPageBreak/>
        <w:t xml:space="preserve">表4.2 </w:t>
      </w:r>
      <w:r w:rsidR="00EC00EC" w:rsidRPr="0063066B">
        <w:rPr>
          <w:rFonts w:ascii="方正小标宋简体" w:eastAsia="方正小标宋简体"/>
          <w:sz w:val="30"/>
          <w:szCs w:val="30"/>
        </w:rPr>
        <w:t>污水处理工程合理造价估算标准</w:t>
      </w:r>
      <w:r w:rsidR="003F5158">
        <w:rPr>
          <w:rFonts w:ascii="方正小标宋简体" w:eastAsia="方正小标宋简体"/>
          <w:sz w:val="30"/>
          <w:szCs w:val="30"/>
        </w:rPr>
        <w:t>表</w:t>
      </w:r>
    </w:p>
    <w:tbl>
      <w:tblPr>
        <w:tblW w:w="12089" w:type="dxa"/>
        <w:jc w:val="center"/>
        <w:tblInd w:w="-245" w:type="dxa"/>
        <w:tblLayout w:type="fixed"/>
        <w:tblLook w:val="0000"/>
      </w:tblPr>
      <w:tblGrid>
        <w:gridCol w:w="2474"/>
        <w:gridCol w:w="3860"/>
        <w:gridCol w:w="2868"/>
        <w:gridCol w:w="2887"/>
      </w:tblGrid>
      <w:tr w:rsidR="00EC00EC" w:rsidRPr="004E2BA1" w:rsidTr="00CE0C28">
        <w:trPr>
          <w:trHeight w:val="267"/>
          <w:jc w:val="center"/>
        </w:trPr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EC" w:rsidRPr="004E2BA1" w:rsidRDefault="00473D6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建设</w:t>
            </w:r>
            <w:r w:rsidR="00EC00EC" w:rsidRPr="004E2BA1">
              <w:rPr>
                <w:rFonts w:eastAsia="仿宋_GB2312"/>
                <w:kern w:val="0"/>
                <w:sz w:val="24"/>
                <w:szCs w:val="24"/>
              </w:rPr>
              <w:t>内容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7D17E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污水提</w:t>
            </w:r>
            <w:proofErr w:type="gramStart"/>
            <w:r w:rsidRPr="004E2BA1">
              <w:rPr>
                <w:rFonts w:eastAsia="仿宋_GB2312"/>
                <w:kern w:val="0"/>
                <w:sz w:val="24"/>
                <w:szCs w:val="24"/>
              </w:rPr>
              <w:t>标改造</w:t>
            </w:r>
            <w:proofErr w:type="gramEnd"/>
            <w:r w:rsidRPr="004E2BA1">
              <w:rPr>
                <w:rFonts w:eastAsia="仿宋_GB2312"/>
                <w:kern w:val="0"/>
                <w:sz w:val="24"/>
                <w:szCs w:val="24"/>
              </w:rPr>
              <w:t>和中水回用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0EC" w:rsidRPr="004E2BA1" w:rsidRDefault="00EC00EC" w:rsidP="007D17E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污泥处理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EC00EC" w:rsidRPr="004E2BA1" w:rsidTr="00CE0C28">
        <w:trPr>
          <w:trHeight w:val="327"/>
          <w:jc w:val="center"/>
        </w:trPr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50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proofErr w:type="gramStart"/>
            <w:r w:rsidRPr="004E2BA1">
              <w:rPr>
                <w:rFonts w:eastAsia="仿宋_GB2312"/>
                <w:kern w:val="0"/>
                <w:sz w:val="24"/>
                <w:szCs w:val="24"/>
              </w:rPr>
              <w:t>日以下</w:t>
            </w:r>
            <w:proofErr w:type="gramEnd"/>
          </w:p>
        </w:tc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50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吨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E2BA1">
              <w:rPr>
                <w:rFonts w:eastAsia="仿宋_GB2312"/>
                <w:kern w:val="0"/>
                <w:sz w:val="24"/>
                <w:szCs w:val="24"/>
              </w:rPr>
              <w:t>日及以上</w:t>
            </w:r>
          </w:p>
        </w:tc>
      </w:tr>
      <w:tr w:rsidR="00EC00EC" w:rsidRPr="004E2BA1" w:rsidTr="00CE0C28">
        <w:trPr>
          <w:trHeight w:val="327"/>
          <w:jc w:val="center"/>
        </w:trPr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0EC" w:rsidRPr="004E2BA1" w:rsidRDefault="00EC00EC" w:rsidP="00C31AEA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C00EC" w:rsidRPr="004E2BA1" w:rsidTr="00CE0C28">
        <w:trPr>
          <w:trHeight w:val="267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EC" w:rsidRPr="004E2BA1" w:rsidRDefault="00EC00E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估算标准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1100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/(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万吨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="007D17E0">
              <w:rPr>
                <w:rFonts w:eastAsia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55540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40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/(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吨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="007D17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EC" w:rsidRPr="004E2BA1" w:rsidRDefault="00EC00EC" w:rsidP="00C31AEA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E2BA1">
              <w:rPr>
                <w:rFonts w:eastAsia="仿宋_GB2312"/>
                <w:kern w:val="0"/>
                <w:sz w:val="24"/>
                <w:szCs w:val="24"/>
              </w:rPr>
              <w:t>30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/(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吨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="007D17E0" w:rsidRPr="004E2BA1">
              <w:rPr>
                <w:rFonts w:eastAsia="仿宋_GB2312"/>
                <w:kern w:val="0"/>
                <w:sz w:val="24"/>
                <w:szCs w:val="24"/>
              </w:rPr>
              <w:t>日</w:t>
            </w:r>
            <w:r w:rsidR="007D17E0" w:rsidRPr="00346F5D">
              <w:rPr>
                <w:rFonts w:eastAsia="仿宋_GB2312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A850ED" w:rsidRDefault="00A850ED" w:rsidP="00EC00EC">
      <w:pPr>
        <w:jc w:val="center"/>
        <w:rPr>
          <w:rFonts w:ascii="方正小标宋简体" w:eastAsia="方正小标宋简体"/>
          <w:sz w:val="30"/>
          <w:szCs w:val="30"/>
        </w:rPr>
      </w:pPr>
    </w:p>
    <w:p w:rsidR="00EC00EC" w:rsidRPr="0063066B" w:rsidRDefault="00E576B6" w:rsidP="00EC00EC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表5 </w:t>
      </w:r>
      <w:r w:rsidR="00EC00EC" w:rsidRPr="0063066B">
        <w:rPr>
          <w:rFonts w:ascii="方正小标宋简体" w:eastAsia="方正小标宋简体"/>
          <w:sz w:val="30"/>
          <w:szCs w:val="30"/>
        </w:rPr>
        <w:t>垃圾处理工程合理造价估算标准</w:t>
      </w:r>
      <w:r w:rsidR="003F5158">
        <w:rPr>
          <w:rFonts w:ascii="方正小标宋简体" w:eastAsia="方正小标宋简体"/>
          <w:sz w:val="30"/>
          <w:szCs w:val="30"/>
        </w:rPr>
        <w:t>表</w:t>
      </w:r>
    </w:p>
    <w:tbl>
      <w:tblPr>
        <w:tblW w:w="12104" w:type="dxa"/>
        <w:jc w:val="center"/>
        <w:tblInd w:w="-2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62"/>
        <w:gridCol w:w="2260"/>
        <w:gridCol w:w="2441"/>
        <w:gridCol w:w="2760"/>
        <w:gridCol w:w="2881"/>
      </w:tblGrid>
      <w:tr w:rsidR="00EC00EC" w:rsidRPr="004E2BA1" w:rsidTr="00CE0C28">
        <w:trPr>
          <w:trHeight w:val="441"/>
          <w:jc w:val="center"/>
        </w:trPr>
        <w:tc>
          <w:tcPr>
            <w:tcW w:w="1762" w:type="dxa"/>
            <w:vMerge w:val="restart"/>
            <w:shd w:val="clear" w:color="auto" w:fill="auto"/>
            <w:noWrap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建设内容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:rsidR="00EC00EC" w:rsidRPr="004E2BA1" w:rsidRDefault="00EC00EC" w:rsidP="007D17E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垃圾填埋场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EC00EC" w:rsidRPr="004E2BA1" w:rsidRDefault="00EC00EC" w:rsidP="009F30F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渗滤液处理</w:t>
            </w:r>
            <w:r w:rsidRPr="004E2BA1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vMerge w:val="restart"/>
            <w:vAlign w:val="center"/>
          </w:tcPr>
          <w:p w:rsidR="00EC00EC" w:rsidRPr="004E2BA1" w:rsidRDefault="00EC00EC" w:rsidP="009F30F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垃圾</w:t>
            </w:r>
            <w:r>
              <w:rPr>
                <w:rFonts w:eastAsia="仿宋_GB2312" w:hint="eastAsia"/>
                <w:sz w:val="24"/>
                <w:szCs w:val="24"/>
              </w:rPr>
              <w:t>收</w:t>
            </w:r>
            <w:r w:rsidRPr="004E2BA1">
              <w:rPr>
                <w:rFonts w:eastAsia="仿宋_GB2312"/>
                <w:sz w:val="24"/>
                <w:szCs w:val="24"/>
              </w:rPr>
              <w:t>运</w:t>
            </w:r>
            <w:r w:rsidRPr="004E2BA1"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 w:rsidR="00EC00EC" w:rsidRPr="004E2BA1" w:rsidTr="00CE0C28">
        <w:trPr>
          <w:trHeight w:val="393"/>
          <w:jc w:val="center"/>
        </w:trPr>
        <w:tc>
          <w:tcPr>
            <w:tcW w:w="1762" w:type="dxa"/>
            <w:vMerge/>
            <w:vAlign w:val="center"/>
          </w:tcPr>
          <w:p w:rsidR="00EC00EC" w:rsidRPr="004E2BA1" w:rsidRDefault="00EC00EC" w:rsidP="00C31AE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100</w:t>
            </w:r>
            <w:r w:rsidRPr="004E2BA1">
              <w:rPr>
                <w:rFonts w:eastAsia="仿宋_GB2312"/>
                <w:sz w:val="24"/>
                <w:szCs w:val="24"/>
              </w:rPr>
              <w:t>万方以下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100</w:t>
            </w:r>
            <w:r w:rsidRPr="004E2BA1">
              <w:rPr>
                <w:rFonts w:eastAsia="仿宋_GB2312"/>
                <w:sz w:val="24"/>
                <w:szCs w:val="24"/>
              </w:rPr>
              <w:t>万方及以上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C00EC" w:rsidRPr="004E2BA1" w:rsidTr="00CE0C28">
        <w:trPr>
          <w:trHeight w:val="122"/>
          <w:jc w:val="center"/>
        </w:trPr>
        <w:tc>
          <w:tcPr>
            <w:tcW w:w="1762" w:type="dxa"/>
            <w:shd w:val="clear" w:color="auto" w:fill="auto"/>
            <w:noWrap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估算标准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50</w:t>
            </w:r>
            <w:r w:rsidR="007D17E0" w:rsidRPr="004E2BA1">
              <w:rPr>
                <w:rFonts w:eastAsia="仿宋_GB2312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sz w:val="24"/>
                <w:szCs w:val="24"/>
              </w:rPr>
              <w:t>/</w:t>
            </w:r>
            <w:proofErr w:type="gramStart"/>
            <w:r w:rsidR="007D17E0" w:rsidRPr="004E2BA1">
              <w:rPr>
                <w:rFonts w:eastAsia="仿宋_GB2312"/>
                <w:sz w:val="24"/>
                <w:szCs w:val="24"/>
              </w:rPr>
              <w:t>万立方米</w:t>
            </w:r>
            <w:proofErr w:type="gramEnd"/>
          </w:p>
        </w:tc>
        <w:tc>
          <w:tcPr>
            <w:tcW w:w="2441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20</w:t>
            </w:r>
            <w:r w:rsidR="007D17E0" w:rsidRPr="004E2BA1">
              <w:rPr>
                <w:rFonts w:eastAsia="仿宋_GB2312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sz w:val="24"/>
                <w:szCs w:val="24"/>
              </w:rPr>
              <w:t>/</w:t>
            </w:r>
            <w:proofErr w:type="gramStart"/>
            <w:r w:rsidR="007D17E0" w:rsidRPr="004E2BA1">
              <w:rPr>
                <w:rFonts w:eastAsia="仿宋_GB2312"/>
                <w:sz w:val="24"/>
                <w:szCs w:val="24"/>
              </w:rPr>
              <w:t>万立方米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10</w:t>
            </w:r>
            <w:r w:rsidR="007D17E0" w:rsidRPr="004E2BA1">
              <w:rPr>
                <w:rFonts w:eastAsia="仿宋_GB2312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sz w:val="24"/>
                <w:szCs w:val="24"/>
              </w:rPr>
              <w:t>/(</w:t>
            </w:r>
            <w:r w:rsidR="007D17E0" w:rsidRPr="004E2BA1">
              <w:rPr>
                <w:rFonts w:eastAsia="仿宋_GB2312"/>
                <w:sz w:val="24"/>
                <w:szCs w:val="24"/>
              </w:rPr>
              <w:t>吨</w:t>
            </w:r>
            <w:r w:rsidR="007D17E0" w:rsidRPr="004E2BA1">
              <w:rPr>
                <w:rFonts w:eastAsia="仿宋_GB2312"/>
                <w:sz w:val="24"/>
                <w:szCs w:val="24"/>
              </w:rPr>
              <w:t>/</w:t>
            </w:r>
            <w:r w:rsidR="007D17E0" w:rsidRPr="004E2BA1">
              <w:rPr>
                <w:rFonts w:eastAsia="仿宋_GB2312"/>
                <w:sz w:val="24"/>
                <w:szCs w:val="24"/>
              </w:rPr>
              <w:t>日</w:t>
            </w:r>
            <w:r w:rsidR="007D17E0">
              <w:rPr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C00EC" w:rsidRPr="004E2BA1" w:rsidRDefault="00EC00EC" w:rsidP="00C31AEA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E2BA1">
              <w:rPr>
                <w:rFonts w:eastAsia="仿宋_GB2312"/>
                <w:sz w:val="24"/>
                <w:szCs w:val="24"/>
              </w:rPr>
              <w:t>8</w:t>
            </w:r>
            <w:r w:rsidR="007D17E0" w:rsidRPr="004E2BA1">
              <w:rPr>
                <w:rFonts w:eastAsia="仿宋_GB2312"/>
                <w:sz w:val="24"/>
                <w:szCs w:val="24"/>
              </w:rPr>
              <w:t>万元</w:t>
            </w:r>
            <w:r w:rsidR="007D17E0" w:rsidRPr="004E2BA1">
              <w:rPr>
                <w:rFonts w:eastAsia="仿宋_GB2312"/>
                <w:sz w:val="24"/>
                <w:szCs w:val="24"/>
              </w:rPr>
              <w:t>/(</w:t>
            </w:r>
            <w:r w:rsidR="007D17E0" w:rsidRPr="004E2BA1">
              <w:rPr>
                <w:rFonts w:eastAsia="仿宋_GB2312"/>
                <w:sz w:val="24"/>
                <w:szCs w:val="24"/>
              </w:rPr>
              <w:t>吨</w:t>
            </w:r>
            <w:r w:rsidR="007D17E0" w:rsidRPr="004E2BA1">
              <w:rPr>
                <w:rFonts w:eastAsia="仿宋_GB2312"/>
                <w:sz w:val="24"/>
                <w:szCs w:val="24"/>
              </w:rPr>
              <w:t>/</w:t>
            </w:r>
            <w:r w:rsidR="007D17E0" w:rsidRPr="004E2BA1">
              <w:rPr>
                <w:rFonts w:eastAsia="仿宋_GB2312"/>
                <w:sz w:val="24"/>
                <w:szCs w:val="24"/>
              </w:rPr>
              <w:t>日</w:t>
            </w:r>
            <w:r w:rsidR="007D17E0">
              <w:rPr>
                <w:rFonts w:eastAsia="仿宋_GB2312" w:hint="eastAsia"/>
                <w:sz w:val="24"/>
                <w:szCs w:val="24"/>
              </w:rPr>
              <w:t>)</w:t>
            </w:r>
          </w:p>
        </w:tc>
      </w:tr>
    </w:tbl>
    <w:p w:rsidR="009232EE" w:rsidRPr="005537F5" w:rsidRDefault="009232EE" w:rsidP="009232EE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232EE" w:rsidRDefault="009232EE" w:rsidP="009232EE">
      <w:pPr>
        <w:tabs>
          <w:tab w:val="left" w:pos="851"/>
        </w:tabs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E76781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注：</w:t>
      </w:r>
    </w:p>
    <w:p w:rsidR="009232EE" w:rsidRPr="00457369" w:rsidRDefault="009232EE" w:rsidP="00457369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5736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河道（湖库）水环境综合治理</w:t>
      </w:r>
      <w:r w:rsidRPr="0045736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="002C76E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城镇饮用水</w:t>
      </w:r>
      <w:r w:rsidRPr="0045736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水源地治理和流域可持续发展工程</w:t>
      </w:r>
      <w:r w:rsidRPr="0045736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应</w:t>
      </w:r>
      <w:r w:rsidRPr="0045736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包括</w:t>
      </w:r>
      <w:r w:rsidRPr="0045736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2个以上的类型建设内容；</w:t>
      </w:r>
    </w:p>
    <w:p w:rsidR="009232EE" w:rsidRDefault="00403260" w:rsidP="009232EE">
      <w:pPr>
        <w:tabs>
          <w:tab w:val="left" w:pos="851"/>
        </w:tabs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="009232EE" w:rsidRPr="00346F5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生态隔离带</w:t>
      </w:r>
      <w:r w:rsidR="009232EE"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主要是在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河流湖库堤坝</w:t>
      </w:r>
      <w:r w:rsidR="00FB667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之外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，种植</w:t>
      </w:r>
      <w:r w:rsidR="009232EE" w:rsidRPr="00A6322C">
        <w:rPr>
          <w:rFonts w:ascii="仿宋_GB2312" w:eastAsia="仿宋_GB2312" w:hAnsi="宋体" w:cs="宋体" w:hint="eastAsia"/>
          <w:kern w:val="0"/>
          <w:sz w:val="24"/>
          <w:szCs w:val="24"/>
        </w:rPr>
        <w:t>乔木、灌木和</w:t>
      </w:r>
      <w:proofErr w:type="gramStart"/>
      <w:r w:rsidR="009232EE" w:rsidRPr="00A6322C">
        <w:rPr>
          <w:rFonts w:ascii="仿宋_GB2312" w:eastAsia="仿宋_GB2312" w:hAnsi="宋体" w:cs="宋体" w:hint="eastAsia"/>
          <w:kern w:val="0"/>
          <w:sz w:val="24"/>
          <w:szCs w:val="24"/>
        </w:rPr>
        <w:t>草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本</w:t>
      </w:r>
      <w:r w:rsidR="009232EE"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等</w:t>
      </w:r>
      <w:proofErr w:type="gramEnd"/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植物</w:t>
      </w:r>
      <w:r w:rsidR="009232EE"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</w:t>
      </w:r>
      <w:r w:rsidR="00FB639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形成相对连续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具有一定隔离功能的生态屏障，</w:t>
      </w:r>
      <w:r w:rsidR="009232EE"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对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直接排入河流湖库的水</w:t>
      </w:r>
      <w:r w:rsidR="009232EE"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污染物形成系统拦截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；生态隔离带与河流湖库的距离原则上最</w:t>
      </w:r>
      <w:r w:rsidR="00375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大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不超过</w:t>
      </w:r>
      <w:r w:rsidR="00D222B6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9232EE" w:rsidRPr="000259B9">
        <w:rPr>
          <w:rFonts w:ascii="仿宋_GB2312" w:eastAsia="仿宋_GB2312" w:hAnsi="宋体" w:cs="宋体" w:hint="eastAsia"/>
          <w:kern w:val="0"/>
          <w:sz w:val="24"/>
          <w:szCs w:val="24"/>
        </w:rPr>
        <w:t>公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里；</w:t>
      </w:r>
    </w:p>
    <w:p w:rsidR="009232EE" w:rsidRPr="000E3797" w:rsidRDefault="009232EE" w:rsidP="009232EE">
      <w:pPr>
        <w:tabs>
          <w:tab w:val="left" w:pos="426"/>
        </w:tabs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="00FA043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生态沟渠</w:t>
      </w:r>
      <w:r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要是对</w:t>
      </w:r>
      <w:r w:rsidR="00815F6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农田排水沟渠进行适度底泥清理，通过</w:t>
      </w:r>
      <w:r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种植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具有</w:t>
      </w:r>
      <w:r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吸</w:t>
      </w:r>
      <w:proofErr w:type="gramStart"/>
      <w:r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磷吸氮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功能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</w:t>
      </w:r>
      <w:r w:rsidRPr="000E379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植物</w:t>
      </w:r>
      <w:r w:rsidR="0086130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等措施</w:t>
      </w:r>
      <w:r w:rsidR="005807D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，削减通过沟渠排入河流的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污染物；</w:t>
      </w:r>
    </w:p>
    <w:p w:rsidR="009232EE" w:rsidRDefault="00403260" w:rsidP="009232EE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="00FA043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护栏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主要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是对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城镇集中式饮用水水源地保护区</w:t>
      </w:r>
      <w:r w:rsidR="00EF0A7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进行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防护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</w:t>
      </w:r>
    </w:p>
    <w:p w:rsidR="009232EE" w:rsidRPr="00E446A9" w:rsidRDefault="00403260" w:rsidP="009232EE">
      <w:pPr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="00FA043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生态步道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主要</w:t>
      </w:r>
      <w:r w:rsidR="00D2353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是在河道（湖库）周围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具有生态旅游开发条件的乡村或需要开展生态廊道建设的城市重点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区域修建步道，并结合实际对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步道两侧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进行合理绿化，增强流域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可持续发展能力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生态步道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与河道（湖库）</w:t>
      </w:r>
      <w:r w:rsidR="00375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的距离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原则上</w:t>
      </w:r>
      <w:r w:rsidR="009232E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最大不超过</w:t>
      </w:r>
      <w:r w:rsidR="009232EE" w:rsidRPr="005901A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2公里</w:t>
      </w:r>
      <w:r w:rsidR="00FA043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;</w:t>
      </w:r>
    </w:p>
    <w:p w:rsidR="00403260" w:rsidRPr="00403260" w:rsidRDefault="00403260" w:rsidP="00403260">
      <w:pPr>
        <w:ind w:left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</w:t>
      </w:r>
      <w:r w:rsidR="00F07E6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．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雨水管网、中水管网</w:t>
      </w:r>
      <w:r w:rsidRP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、特种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工业污水处理</w:t>
      </w:r>
      <w:r w:rsidRP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垃圾封场</w:t>
      </w:r>
      <w:r w:rsidRP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垃圾焚烧发电</w:t>
      </w:r>
      <w:r w:rsidRP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河湖连通、堤坝建设等</w:t>
      </w:r>
      <w:r w:rsidRPr="0040326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类型项目本</w:t>
      </w:r>
      <w:r w:rsidRPr="0040326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专项投资不予以支持</w:t>
      </w:r>
      <w:r w:rsidR="00F07E6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9232EE" w:rsidRPr="009232EE" w:rsidRDefault="009232EE" w:rsidP="009A377B">
      <w:pPr>
        <w:ind w:firstLineChars="200" w:firstLine="420"/>
      </w:pPr>
    </w:p>
    <w:sectPr w:rsidR="009232EE" w:rsidRPr="009232EE" w:rsidSect="00D04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7C" w:rsidRDefault="0071677C" w:rsidP="00375990">
      <w:r>
        <w:separator/>
      </w:r>
    </w:p>
  </w:endnote>
  <w:endnote w:type="continuationSeparator" w:id="0">
    <w:p w:rsidR="0071677C" w:rsidRDefault="0071677C" w:rsidP="0037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7C" w:rsidRDefault="0071677C" w:rsidP="00375990">
      <w:r>
        <w:separator/>
      </w:r>
    </w:p>
  </w:footnote>
  <w:footnote w:type="continuationSeparator" w:id="0">
    <w:p w:rsidR="0071677C" w:rsidRDefault="0071677C" w:rsidP="0037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C75"/>
    <w:multiLevelType w:val="hybridMultilevel"/>
    <w:tmpl w:val="9F0055EE"/>
    <w:lvl w:ilvl="0" w:tplc="71B47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40B"/>
    <w:rsid w:val="0002435D"/>
    <w:rsid w:val="000259B9"/>
    <w:rsid w:val="00027D0D"/>
    <w:rsid w:val="000353DD"/>
    <w:rsid w:val="00035D99"/>
    <w:rsid w:val="00044E37"/>
    <w:rsid w:val="00045C2D"/>
    <w:rsid w:val="00047ED6"/>
    <w:rsid w:val="00051B8A"/>
    <w:rsid w:val="00056694"/>
    <w:rsid w:val="00062B86"/>
    <w:rsid w:val="00083AF6"/>
    <w:rsid w:val="000B2358"/>
    <w:rsid w:val="000C150E"/>
    <w:rsid w:val="000C1E8D"/>
    <w:rsid w:val="000C2416"/>
    <w:rsid w:val="000E3797"/>
    <w:rsid w:val="000E5CDC"/>
    <w:rsid w:val="000F2AAB"/>
    <w:rsid w:val="000F6D80"/>
    <w:rsid w:val="001379A2"/>
    <w:rsid w:val="0014285A"/>
    <w:rsid w:val="001448F1"/>
    <w:rsid w:val="00161376"/>
    <w:rsid w:val="00166AE8"/>
    <w:rsid w:val="001673CD"/>
    <w:rsid w:val="00182796"/>
    <w:rsid w:val="00185A51"/>
    <w:rsid w:val="00187894"/>
    <w:rsid w:val="001B6131"/>
    <w:rsid w:val="001C3275"/>
    <w:rsid w:val="001D677F"/>
    <w:rsid w:val="001E3125"/>
    <w:rsid w:val="001E3411"/>
    <w:rsid w:val="001E6CFD"/>
    <w:rsid w:val="001F12C0"/>
    <w:rsid w:val="002178C0"/>
    <w:rsid w:val="00232311"/>
    <w:rsid w:val="002327B9"/>
    <w:rsid w:val="00246701"/>
    <w:rsid w:val="00251420"/>
    <w:rsid w:val="00253FC1"/>
    <w:rsid w:val="00262722"/>
    <w:rsid w:val="00262E7B"/>
    <w:rsid w:val="0026665B"/>
    <w:rsid w:val="00270FB8"/>
    <w:rsid w:val="00273CE8"/>
    <w:rsid w:val="00281A25"/>
    <w:rsid w:val="00284415"/>
    <w:rsid w:val="00290ED7"/>
    <w:rsid w:val="002A4114"/>
    <w:rsid w:val="002C30B5"/>
    <w:rsid w:val="002C76EB"/>
    <w:rsid w:val="002D281C"/>
    <w:rsid w:val="002F4541"/>
    <w:rsid w:val="002F685B"/>
    <w:rsid w:val="00305396"/>
    <w:rsid w:val="00317CA2"/>
    <w:rsid w:val="00325119"/>
    <w:rsid w:val="00345992"/>
    <w:rsid w:val="00346F5D"/>
    <w:rsid w:val="003476A5"/>
    <w:rsid w:val="003526A1"/>
    <w:rsid w:val="00356728"/>
    <w:rsid w:val="003619E7"/>
    <w:rsid w:val="00375584"/>
    <w:rsid w:val="00375990"/>
    <w:rsid w:val="003771C8"/>
    <w:rsid w:val="0038615D"/>
    <w:rsid w:val="00390B8D"/>
    <w:rsid w:val="003A332C"/>
    <w:rsid w:val="003A4D5F"/>
    <w:rsid w:val="003B6E09"/>
    <w:rsid w:val="003B74DA"/>
    <w:rsid w:val="003C6BA0"/>
    <w:rsid w:val="003D01DB"/>
    <w:rsid w:val="003D0A5B"/>
    <w:rsid w:val="003E3BF1"/>
    <w:rsid w:val="003E4ED5"/>
    <w:rsid w:val="003F00FD"/>
    <w:rsid w:val="003F1D7A"/>
    <w:rsid w:val="003F46E8"/>
    <w:rsid w:val="003F5158"/>
    <w:rsid w:val="00403260"/>
    <w:rsid w:val="00416148"/>
    <w:rsid w:val="00424B85"/>
    <w:rsid w:val="00424EEC"/>
    <w:rsid w:val="00431308"/>
    <w:rsid w:val="0044149E"/>
    <w:rsid w:val="00443C86"/>
    <w:rsid w:val="00446286"/>
    <w:rsid w:val="004465CF"/>
    <w:rsid w:val="00450AD6"/>
    <w:rsid w:val="00453AE3"/>
    <w:rsid w:val="0045413E"/>
    <w:rsid w:val="00457369"/>
    <w:rsid w:val="00460CE2"/>
    <w:rsid w:val="00473D6C"/>
    <w:rsid w:val="0047428A"/>
    <w:rsid w:val="00477B5C"/>
    <w:rsid w:val="00477C0F"/>
    <w:rsid w:val="00485024"/>
    <w:rsid w:val="004973C6"/>
    <w:rsid w:val="004A3F8A"/>
    <w:rsid w:val="004B0408"/>
    <w:rsid w:val="004C2E96"/>
    <w:rsid w:val="004D0C0E"/>
    <w:rsid w:val="004D7D02"/>
    <w:rsid w:val="004F591C"/>
    <w:rsid w:val="005033D6"/>
    <w:rsid w:val="00505A88"/>
    <w:rsid w:val="0051394E"/>
    <w:rsid w:val="00515148"/>
    <w:rsid w:val="005177B3"/>
    <w:rsid w:val="00533256"/>
    <w:rsid w:val="0055022E"/>
    <w:rsid w:val="005537F5"/>
    <w:rsid w:val="00555400"/>
    <w:rsid w:val="00560E02"/>
    <w:rsid w:val="0056470B"/>
    <w:rsid w:val="00564A2D"/>
    <w:rsid w:val="005807D4"/>
    <w:rsid w:val="00580FC0"/>
    <w:rsid w:val="005901A5"/>
    <w:rsid w:val="00594126"/>
    <w:rsid w:val="00595456"/>
    <w:rsid w:val="005A4270"/>
    <w:rsid w:val="005B25C7"/>
    <w:rsid w:val="005B2B63"/>
    <w:rsid w:val="005C1340"/>
    <w:rsid w:val="005C696B"/>
    <w:rsid w:val="005C7463"/>
    <w:rsid w:val="005F0807"/>
    <w:rsid w:val="005F228D"/>
    <w:rsid w:val="005F5C17"/>
    <w:rsid w:val="00604466"/>
    <w:rsid w:val="00605EEB"/>
    <w:rsid w:val="0061146B"/>
    <w:rsid w:val="006251D5"/>
    <w:rsid w:val="0063066B"/>
    <w:rsid w:val="00644E8E"/>
    <w:rsid w:val="006470DB"/>
    <w:rsid w:val="00650C14"/>
    <w:rsid w:val="0066060B"/>
    <w:rsid w:val="006624E9"/>
    <w:rsid w:val="00671F97"/>
    <w:rsid w:val="006821C8"/>
    <w:rsid w:val="0068392C"/>
    <w:rsid w:val="00684D17"/>
    <w:rsid w:val="006903E5"/>
    <w:rsid w:val="00692128"/>
    <w:rsid w:val="006A7CCC"/>
    <w:rsid w:val="006C48F9"/>
    <w:rsid w:val="006D070D"/>
    <w:rsid w:val="006D081D"/>
    <w:rsid w:val="006D135D"/>
    <w:rsid w:val="006D227A"/>
    <w:rsid w:val="006D501D"/>
    <w:rsid w:val="006E4BAC"/>
    <w:rsid w:val="00700352"/>
    <w:rsid w:val="007066B7"/>
    <w:rsid w:val="00715D48"/>
    <w:rsid w:val="0071677C"/>
    <w:rsid w:val="00752307"/>
    <w:rsid w:val="00761A99"/>
    <w:rsid w:val="00765E60"/>
    <w:rsid w:val="0076667F"/>
    <w:rsid w:val="00772F5E"/>
    <w:rsid w:val="007926D0"/>
    <w:rsid w:val="00792F8E"/>
    <w:rsid w:val="007A0D43"/>
    <w:rsid w:val="007C094F"/>
    <w:rsid w:val="007C38F5"/>
    <w:rsid w:val="007C3D6A"/>
    <w:rsid w:val="007C5261"/>
    <w:rsid w:val="007D17E0"/>
    <w:rsid w:val="008120E0"/>
    <w:rsid w:val="00815F6F"/>
    <w:rsid w:val="008209C0"/>
    <w:rsid w:val="00821F38"/>
    <w:rsid w:val="00840936"/>
    <w:rsid w:val="008409C9"/>
    <w:rsid w:val="0084438A"/>
    <w:rsid w:val="00856BE3"/>
    <w:rsid w:val="00861305"/>
    <w:rsid w:val="008651A4"/>
    <w:rsid w:val="00866D02"/>
    <w:rsid w:val="00870C2D"/>
    <w:rsid w:val="0089112C"/>
    <w:rsid w:val="00893110"/>
    <w:rsid w:val="008A1966"/>
    <w:rsid w:val="008C12BC"/>
    <w:rsid w:val="008D3A81"/>
    <w:rsid w:val="008D3AA0"/>
    <w:rsid w:val="008E3488"/>
    <w:rsid w:val="00912E05"/>
    <w:rsid w:val="00922414"/>
    <w:rsid w:val="009232EE"/>
    <w:rsid w:val="00924318"/>
    <w:rsid w:val="0093527B"/>
    <w:rsid w:val="00944449"/>
    <w:rsid w:val="009444E0"/>
    <w:rsid w:val="00945FAF"/>
    <w:rsid w:val="00961125"/>
    <w:rsid w:val="009763E0"/>
    <w:rsid w:val="00980415"/>
    <w:rsid w:val="009905BD"/>
    <w:rsid w:val="00991F48"/>
    <w:rsid w:val="0099476A"/>
    <w:rsid w:val="009A377B"/>
    <w:rsid w:val="009A4DF0"/>
    <w:rsid w:val="009A59FD"/>
    <w:rsid w:val="009B5470"/>
    <w:rsid w:val="009B6FC1"/>
    <w:rsid w:val="009C0AC5"/>
    <w:rsid w:val="009D02E5"/>
    <w:rsid w:val="009D51C5"/>
    <w:rsid w:val="009E0E7B"/>
    <w:rsid w:val="009F05D2"/>
    <w:rsid w:val="009F30F1"/>
    <w:rsid w:val="009F54B5"/>
    <w:rsid w:val="00A04195"/>
    <w:rsid w:val="00A05242"/>
    <w:rsid w:val="00A054C9"/>
    <w:rsid w:val="00A17D08"/>
    <w:rsid w:val="00A3180D"/>
    <w:rsid w:val="00A51994"/>
    <w:rsid w:val="00A6322C"/>
    <w:rsid w:val="00A850ED"/>
    <w:rsid w:val="00A91BCF"/>
    <w:rsid w:val="00A943DA"/>
    <w:rsid w:val="00AE01A7"/>
    <w:rsid w:val="00AE3109"/>
    <w:rsid w:val="00AE3E94"/>
    <w:rsid w:val="00AE4EFF"/>
    <w:rsid w:val="00AE5F4F"/>
    <w:rsid w:val="00AE7842"/>
    <w:rsid w:val="00AF45B4"/>
    <w:rsid w:val="00B04400"/>
    <w:rsid w:val="00B0585B"/>
    <w:rsid w:val="00B103DB"/>
    <w:rsid w:val="00B12449"/>
    <w:rsid w:val="00B24702"/>
    <w:rsid w:val="00B45BE2"/>
    <w:rsid w:val="00B5650B"/>
    <w:rsid w:val="00B66A3A"/>
    <w:rsid w:val="00B70071"/>
    <w:rsid w:val="00B727C6"/>
    <w:rsid w:val="00B72C8F"/>
    <w:rsid w:val="00B8160E"/>
    <w:rsid w:val="00BA16BC"/>
    <w:rsid w:val="00BA559F"/>
    <w:rsid w:val="00BB3036"/>
    <w:rsid w:val="00BC4628"/>
    <w:rsid w:val="00BD468C"/>
    <w:rsid w:val="00BE41C4"/>
    <w:rsid w:val="00BE42C1"/>
    <w:rsid w:val="00BF37EE"/>
    <w:rsid w:val="00BF454E"/>
    <w:rsid w:val="00BF6518"/>
    <w:rsid w:val="00C036C5"/>
    <w:rsid w:val="00C064C4"/>
    <w:rsid w:val="00C10B70"/>
    <w:rsid w:val="00C10F52"/>
    <w:rsid w:val="00C260AC"/>
    <w:rsid w:val="00C30CB0"/>
    <w:rsid w:val="00C50FBC"/>
    <w:rsid w:val="00C91930"/>
    <w:rsid w:val="00C97425"/>
    <w:rsid w:val="00CA5E19"/>
    <w:rsid w:val="00CB2D92"/>
    <w:rsid w:val="00CB2E50"/>
    <w:rsid w:val="00CC3F98"/>
    <w:rsid w:val="00CC42A8"/>
    <w:rsid w:val="00CC4A79"/>
    <w:rsid w:val="00CD5B64"/>
    <w:rsid w:val="00CD6DEB"/>
    <w:rsid w:val="00CE0C28"/>
    <w:rsid w:val="00CE5433"/>
    <w:rsid w:val="00CF2E6D"/>
    <w:rsid w:val="00D0440B"/>
    <w:rsid w:val="00D17BE0"/>
    <w:rsid w:val="00D21448"/>
    <w:rsid w:val="00D222B6"/>
    <w:rsid w:val="00D2353B"/>
    <w:rsid w:val="00D42ED1"/>
    <w:rsid w:val="00D441B3"/>
    <w:rsid w:val="00D47B42"/>
    <w:rsid w:val="00D62B44"/>
    <w:rsid w:val="00D62EE8"/>
    <w:rsid w:val="00D715F5"/>
    <w:rsid w:val="00D7325C"/>
    <w:rsid w:val="00D8020E"/>
    <w:rsid w:val="00D8741A"/>
    <w:rsid w:val="00DB1E7D"/>
    <w:rsid w:val="00DB1F9D"/>
    <w:rsid w:val="00DC3C87"/>
    <w:rsid w:val="00DC7BCB"/>
    <w:rsid w:val="00DD3DCD"/>
    <w:rsid w:val="00DE317E"/>
    <w:rsid w:val="00DE7A3B"/>
    <w:rsid w:val="00DF53FA"/>
    <w:rsid w:val="00E034C9"/>
    <w:rsid w:val="00E106F4"/>
    <w:rsid w:val="00E164A2"/>
    <w:rsid w:val="00E20C92"/>
    <w:rsid w:val="00E446A9"/>
    <w:rsid w:val="00E511F3"/>
    <w:rsid w:val="00E51255"/>
    <w:rsid w:val="00E5429D"/>
    <w:rsid w:val="00E576B6"/>
    <w:rsid w:val="00E76568"/>
    <w:rsid w:val="00E76781"/>
    <w:rsid w:val="00E76EEB"/>
    <w:rsid w:val="00E82180"/>
    <w:rsid w:val="00EB61B3"/>
    <w:rsid w:val="00EC00EC"/>
    <w:rsid w:val="00EC0BA7"/>
    <w:rsid w:val="00EC249C"/>
    <w:rsid w:val="00EC3916"/>
    <w:rsid w:val="00EC761C"/>
    <w:rsid w:val="00ED0DAF"/>
    <w:rsid w:val="00ED16A8"/>
    <w:rsid w:val="00EF0A77"/>
    <w:rsid w:val="00EF10FE"/>
    <w:rsid w:val="00EF4781"/>
    <w:rsid w:val="00EF55AA"/>
    <w:rsid w:val="00F06C4F"/>
    <w:rsid w:val="00F07E64"/>
    <w:rsid w:val="00F179BC"/>
    <w:rsid w:val="00F25180"/>
    <w:rsid w:val="00F317F7"/>
    <w:rsid w:val="00F31D77"/>
    <w:rsid w:val="00F331FF"/>
    <w:rsid w:val="00F348A7"/>
    <w:rsid w:val="00F36B8B"/>
    <w:rsid w:val="00F41CB8"/>
    <w:rsid w:val="00F445A5"/>
    <w:rsid w:val="00F46C2B"/>
    <w:rsid w:val="00F50323"/>
    <w:rsid w:val="00F520CA"/>
    <w:rsid w:val="00F62409"/>
    <w:rsid w:val="00F64D3C"/>
    <w:rsid w:val="00F65E03"/>
    <w:rsid w:val="00F67C7E"/>
    <w:rsid w:val="00F72A97"/>
    <w:rsid w:val="00F73173"/>
    <w:rsid w:val="00FA0438"/>
    <w:rsid w:val="00FA1FB1"/>
    <w:rsid w:val="00FB053E"/>
    <w:rsid w:val="00FB639F"/>
    <w:rsid w:val="00FB6676"/>
    <w:rsid w:val="00FC4B75"/>
    <w:rsid w:val="00FC77F2"/>
    <w:rsid w:val="00FD0F8A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9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9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A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A9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57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3938-DCC6-468D-B1D8-B51A7A3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280</Words>
  <Characters>1602</Characters>
  <Application>Microsoft Office Word</Application>
  <DocSecurity>0</DocSecurity>
  <Lines>13</Lines>
  <Paragraphs>3</Paragraphs>
  <ScaleCrop>false</ScaleCrop>
  <Company>Lenovo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17</cp:revision>
  <cp:lastPrinted>2019-08-01T11:32:00Z</cp:lastPrinted>
  <dcterms:created xsi:type="dcterms:W3CDTF">2019-08-01T10:50:00Z</dcterms:created>
  <dcterms:modified xsi:type="dcterms:W3CDTF">2020-01-21T09:27:00Z</dcterms:modified>
</cp:coreProperties>
</file>