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Lines="20" w:line="360" w:lineRule="auto"/>
        <w:jc w:val="left"/>
        <w:rPr>
          <w:rFonts w:ascii="Times New Roman" w:hAnsi="Times New Roman" w:eastAsia="仿宋_GB2312"/>
          <w:b/>
          <w:bCs/>
          <w:spacing w:val="3"/>
          <w:kern w:val="0"/>
          <w:sz w:val="28"/>
        </w:rPr>
      </w:pPr>
      <w:r>
        <w:rPr>
          <w:rFonts w:hint="eastAsia" w:ascii="Times New Roman" w:hAnsi="Times New Roman" w:eastAsia="仿宋_GB2312"/>
          <w:b/>
          <w:bCs/>
          <w:spacing w:val="3"/>
          <w:kern w:val="0"/>
          <w:sz w:val="28"/>
        </w:rPr>
        <w:t>附件：</w:t>
      </w:r>
    </w:p>
    <w:p>
      <w:pPr>
        <w:pStyle w:val="10"/>
        <w:spacing w:beforeLines="20" w:line="360" w:lineRule="auto"/>
        <w:jc w:val="center"/>
        <w:rPr>
          <w:rFonts w:ascii="方正小标宋_GBK" w:hAnsi="方正小标宋_GBK" w:eastAsia="方正小标宋_GBK" w:cs="方正小标宋_GBK"/>
          <w:spacing w:val="8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8"/>
          <w:sz w:val="32"/>
          <w:szCs w:val="32"/>
        </w:rPr>
        <w:t>洱源县地上附着物和青苗补偿表</w:t>
      </w:r>
    </w:p>
    <w:p>
      <w:pPr>
        <w:jc w:val="left"/>
        <w:rPr>
          <w:rFonts w:ascii="Times New Roman" w:hAnsi="Times New Roman" w:eastAsia="仿宋_GB2312"/>
          <w:b/>
          <w:sz w:val="28"/>
        </w:rPr>
      </w:pPr>
      <w:r>
        <w:rPr>
          <w:rFonts w:hint="eastAsia" w:ascii="Times New Roman" w:hAnsi="Times New Roman" w:eastAsia="仿宋_GB2312"/>
          <w:b/>
          <w:sz w:val="28"/>
        </w:rPr>
        <w:t>表</w:t>
      </w:r>
      <w:r>
        <w:rPr>
          <w:rFonts w:ascii="Times New Roman" w:hAnsi="Times New Roman" w:eastAsia="仿宋_GB2312"/>
          <w:b/>
          <w:sz w:val="28"/>
        </w:rPr>
        <w:t xml:space="preserve">1  </w:t>
      </w:r>
      <w:r>
        <w:rPr>
          <w:rFonts w:hint="eastAsia" w:ascii="Times New Roman" w:hAnsi="Times New Roman" w:eastAsia="仿宋_GB2312"/>
          <w:b/>
          <w:sz w:val="28"/>
        </w:rPr>
        <w:t>建筑物补偿标准</w:t>
      </w:r>
      <w:bookmarkStart w:id="0" w:name="_GoBack"/>
      <w:bookmarkEnd w:id="0"/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47"/>
        <w:gridCol w:w="2438"/>
        <w:gridCol w:w="1132"/>
        <w:gridCol w:w="1208"/>
        <w:gridCol w:w="1147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一级分类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二级分类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补偿标准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钢混结构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钢混结构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框架结构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钢结构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砖混结构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砖木结构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土木结构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简易结构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说明：补偿标准未覆盖的可按价值相近原则参照执行，如无法参照或在征地过程中遇到特殊情况的，可委托有资质的机构进行评估或协商认定。</w:t>
            </w:r>
          </w:p>
        </w:tc>
      </w:tr>
    </w:tbl>
    <w:p>
      <w:pPr>
        <w:jc w:val="left"/>
      </w:pPr>
      <w:r>
        <w:rPr>
          <w:rFonts w:hint="eastAsia" w:ascii="Times New Roman" w:hAnsi="Times New Roman" w:eastAsia="仿宋_GB2312"/>
          <w:b/>
          <w:sz w:val="28"/>
        </w:rPr>
        <w:t>表</w:t>
      </w:r>
      <w:r>
        <w:rPr>
          <w:rFonts w:ascii="Times New Roman" w:hAnsi="Times New Roman" w:eastAsia="仿宋_GB2312"/>
          <w:b/>
          <w:sz w:val="28"/>
        </w:rPr>
        <w:t xml:space="preserve">2  </w:t>
      </w:r>
      <w:r>
        <w:rPr>
          <w:rFonts w:hint="eastAsia" w:ascii="Times New Roman" w:hAnsi="Times New Roman" w:eastAsia="仿宋_GB2312"/>
          <w:b/>
          <w:sz w:val="28"/>
        </w:rPr>
        <w:t>构筑物及附属设施补偿标准</w:t>
      </w: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70"/>
        <w:gridCol w:w="1069"/>
        <w:gridCol w:w="2355"/>
        <w:gridCol w:w="1162"/>
        <w:gridCol w:w="774"/>
        <w:gridCol w:w="1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一级分类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二级分类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补偿标准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砌体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挡墙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干砌石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砖砌挡墙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混凝土挡墙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钢筋混凝土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围墙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土围墙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空心砖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砖围墙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石围墙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环境卫生设施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厕所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简易结构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土木结构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砖木结构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化粪池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沼气池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养殖设施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圈舍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生产设施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大棚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钢架大棚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简易竹（木）棚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烤烟房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土筑烤烟房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标准化烤烟房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砖瓦窑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石灰窑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葡萄架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符合单幅连棚降密提质促早熟技术安装设施的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不符合上述连棚要求的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滴灌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符合单幅连棚降密提质促早熟技术安装设施的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不符合上述连棚要求的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储水设施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井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水井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机井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水池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砖砌体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钢筋混凝土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水窖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交通水利设施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沟渠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混凝土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浆砌石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生活附属设施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太阳能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平板式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管式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大门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木大门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铁大门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围栏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植物封篱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灶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土灶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双灶按单灶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砖灶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双灶按单灶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花池（台）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一般花台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砖砌（池）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地坪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混凝土地坪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砖地坪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电话、宽带等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自来水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电线杆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坟墓迁移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土坟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单葬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土坟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合葬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砖坟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单葬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砖坟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合葬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石坟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单葬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石坟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合葬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12000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说明：补偿标准未覆盖的可按价值相近原则参照执行，如无法参照或在征地过程中遇到特殊情况的，可委托有资质的机构进行评估或协商认定。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仿宋_GB2312"/>
          <w:b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仿宋_GB2312"/>
          <w:b/>
          <w:kern w:val="0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jc w:val="left"/>
      </w:pPr>
      <w:r>
        <w:rPr>
          <w:rFonts w:hint="eastAsia" w:ascii="Times New Roman" w:hAnsi="Times New Roman" w:eastAsia="仿宋_GB2312"/>
          <w:b/>
          <w:sz w:val="28"/>
        </w:rPr>
        <w:t>表</w:t>
      </w:r>
      <w:r>
        <w:rPr>
          <w:rFonts w:ascii="Times New Roman" w:hAnsi="Times New Roman" w:eastAsia="仿宋_GB2312"/>
          <w:b/>
          <w:sz w:val="28"/>
        </w:rPr>
        <w:t xml:space="preserve">3  </w:t>
      </w:r>
      <w:r>
        <w:rPr>
          <w:rFonts w:hint="eastAsia" w:ascii="Times New Roman" w:hAnsi="Times New Roman" w:eastAsia="仿宋_GB2312"/>
          <w:b/>
          <w:sz w:val="28"/>
        </w:rPr>
        <w:t>林木、果木补偿标准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774"/>
        <w:gridCol w:w="791"/>
        <w:gridCol w:w="699"/>
        <w:gridCol w:w="2776"/>
        <w:gridCol w:w="1011"/>
        <w:gridCol w:w="75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4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一级分类</w:t>
            </w:r>
          </w:p>
        </w:tc>
        <w:tc>
          <w:tcPr>
            <w:tcW w:w="464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二级分类</w:t>
            </w:r>
          </w:p>
        </w:tc>
        <w:tc>
          <w:tcPr>
            <w:tcW w:w="41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三级分类</w:t>
            </w:r>
          </w:p>
        </w:tc>
        <w:tc>
          <w:tcPr>
            <w:tcW w:w="16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4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补偿标准</w:t>
            </w:r>
          </w:p>
        </w:tc>
        <w:tc>
          <w:tcPr>
            <w:tcW w:w="72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竹类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竹子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每丛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 3-5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丛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每丛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 6-10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丛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72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每丛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 10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根以上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丛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</w:p>
        </w:tc>
        <w:tc>
          <w:tcPr>
            <w:tcW w:w="72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杉类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杉木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60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松类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云南松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160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雪松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67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60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160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260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其他松树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柏类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柏树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杨类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杨树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黄杨树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桉类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桉树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软阔类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柳树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黄连木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楸木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160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白蜡树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硬阔类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其他榕树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槐树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高山榕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60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160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小叶榕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滇朴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45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桤木类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冬瓜树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樟类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香樟树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600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棕榈类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棕树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260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针叶类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铁树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280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70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果树类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苹果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梨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桃子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李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110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板栗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柑桔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杏子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梅子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柿子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杨梅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车厘子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樱桃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葡萄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222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90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石榴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芒果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火龙果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140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无花果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龙眼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60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900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荔枝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枇杷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60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木瓜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枣树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桑树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90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橙子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铁核桃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泡核桃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食用原料类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花椒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盛挂果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香椿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生长期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初产期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盛产期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茶树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幼苗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1200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生长期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初产期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盛产期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药用类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银杏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厘米以下（含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180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10-20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胸径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20-30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厘米（含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厘米）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600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其他经济林木</w:t>
            </w:r>
          </w:p>
        </w:tc>
        <w:tc>
          <w:tcPr>
            <w:tcW w:w="41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香蕉、芭蕉</w:t>
            </w: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幼丛（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株以下或新移栽幼树）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丛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15</w:t>
            </w:r>
          </w:p>
        </w:tc>
        <w:tc>
          <w:tcPr>
            <w:tcW w:w="721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种植密度不高于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小丛（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丛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45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中丛（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6-9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丛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110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10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大丛（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株以上）</w:t>
            </w:r>
          </w:p>
        </w:tc>
        <w:tc>
          <w:tcPr>
            <w:tcW w:w="59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丛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160</w:t>
            </w:r>
          </w:p>
        </w:tc>
        <w:tc>
          <w:tcPr>
            <w:tcW w:w="721" w:type="pct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" w:type="pct"/>
            <w:gridSpan w:val="8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说明：补偿标准未覆盖的可按价值相近原则参照执行，如无法参照或在征地过程中遇到特殊情况的，可委托有资质的机构进行评估或协商认定。</w:t>
            </w:r>
          </w:p>
        </w:tc>
      </w:tr>
    </w:tbl>
    <w:p>
      <w:pPr>
        <w:pStyle w:val="10"/>
        <w:ind w:left="420" w:leftChars="20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jc w:val="left"/>
      </w:pPr>
      <w:r>
        <w:rPr>
          <w:rFonts w:hint="eastAsia" w:ascii="Times New Roman" w:hAnsi="Times New Roman" w:eastAsia="仿宋_GB2312"/>
          <w:b/>
          <w:sz w:val="28"/>
        </w:rPr>
        <w:t>表</w:t>
      </w:r>
      <w:r>
        <w:rPr>
          <w:rFonts w:ascii="Times New Roman" w:hAnsi="Times New Roman" w:eastAsia="仿宋_GB2312"/>
          <w:b/>
          <w:sz w:val="28"/>
        </w:rPr>
        <w:t xml:space="preserve">4  </w:t>
      </w:r>
      <w:r>
        <w:rPr>
          <w:rFonts w:hint="eastAsia" w:ascii="Times New Roman" w:hAnsi="Times New Roman" w:eastAsia="仿宋_GB2312"/>
          <w:b/>
          <w:sz w:val="28"/>
        </w:rPr>
        <w:t>青苗补偿标准</w:t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362"/>
        <w:gridCol w:w="947"/>
        <w:gridCol w:w="1116"/>
        <w:gridCol w:w="1134"/>
        <w:gridCol w:w="1476"/>
        <w:gridCol w:w="947"/>
        <w:gridCol w:w="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一级分类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二级分类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三级分类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补偿标准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粮油作物</w:t>
            </w:r>
          </w:p>
        </w:tc>
        <w:tc>
          <w:tcPr>
            <w:tcW w:w="5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谷物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稻谷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稻谷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2800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小麦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小麦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玉米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玉米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油料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花生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花生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2600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油菜（籽）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油菜（籽）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2500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豆类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薯类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马铃薯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马铃薯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其他薯类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其他薯类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经济作物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糖料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烟叶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蔬菜瓜果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蔬菜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3600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瓜果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说明：补偿标准未覆盖的可按价值相近原则参照执行，如无法参照或在征地过程中遇到特殊情况的，可委托有资质的机构进行评估或协商认定。</w:t>
            </w:r>
          </w:p>
        </w:tc>
      </w:tr>
    </w:tbl>
    <w:p>
      <w:pPr>
        <w:ind w:firstLine="5280" w:firstLineChars="2200"/>
        <w:rPr>
          <w:rFonts w:asci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NzhhMzcxNWQ5ZGM3YjBkMWFhMWUxM2I2YWJkMmQifQ=="/>
  </w:docVars>
  <w:rsids>
    <w:rsidRoot w:val="33EB50A0"/>
    <w:rsid w:val="002F5C44"/>
    <w:rsid w:val="007F0B7F"/>
    <w:rsid w:val="00CD5992"/>
    <w:rsid w:val="00D940A0"/>
    <w:rsid w:val="00EA2A23"/>
    <w:rsid w:val="33EB50A0"/>
    <w:rsid w:val="652F0A40"/>
    <w:rsid w:val="694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Heading 1 Char"/>
    <w:basedOn w:val="6"/>
    <w:link w:val="2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9">
    <w:name w:val="Footer Char"/>
    <w:basedOn w:val="6"/>
    <w:link w:val="3"/>
    <w:semiHidden/>
    <w:uiPriority w:val="99"/>
    <w:rPr>
      <w:rFonts w:ascii="Calibri" w:hAnsi="Calibri"/>
      <w:sz w:val="18"/>
      <w:szCs w:val="18"/>
    </w:rPr>
  </w:style>
  <w:style w:type="paragraph" w:customStyle="1" w:styleId="10">
    <w:name w:val="内容"/>
    <w:basedOn w:val="1"/>
    <w:uiPriority w:val="99"/>
    <w:pPr>
      <w:tabs>
        <w:tab w:val="left" w:leader="middleDot" w:pos="7955"/>
      </w:tabs>
      <w:adjustRightInd w:val="0"/>
      <w:snapToGrid w:val="0"/>
      <w:spacing w:line="640" w:lineRule="exact"/>
      <w:textAlignment w:val="center"/>
    </w:pPr>
    <w:rPr>
      <w:rFonts w:eastAsia="方正仿宋_GBK"/>
      <w:color w:val="00000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5479</Words>
  <Characters>6415</Characters>
  <Lines>0</Lines>
  <Paragraphs>0</Paragraphs>
  <TotalTime>40</TotalTime>
  <ScaleCrop>false</ScaleCrop>
  <LinksUpToDate>false</LinksUpToDate>
  <CharactersWithSpaces>6485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2022-11-15T06:15:00Z</dcterms:created>
  <dc:creator>湛蓝</dc:creator>
  <cp:lastModifiedBy>杨玉福</cp:lastModifiedBy>
  <dcterms:modified xsi:type="dcterms:W3CDTF">2022-11-18T02:59:59Z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E6313D384CB14E6499464C608F7A354B</vt:lpwstr>
  </property>
</Properties>
</file>