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sz w:val="44"/>
          <w:szCs w:val="44"/>
          <w:lang w:eastAsia="zh-CN"/>
        </w:rPr>
      </w:pPr>
    </w:p>
    <w:p>
      <w:pPr>
        <w:jc w:val="center"/>
        <w:rPr>
          <w:rFonts w:hint="default" w:ascii="Times New Roman" w:hAnsi="Times New Roman" w:eastAsia="宋体" w:cs="Times New Roman"/>
          <w:sz w:val="44"/>
          <w:szCs w:val="44"/>
          <w:lang w:eastAsia="zh-CN"/>
        </w:rPr>
      </w:pPr>
    </w:p>
    <w:p>
      <w:pPr>
        <w:jc w:val="center"/>
        <w:rPr>
          <w:rFonts w:hint="default" w:ascii="Times New Roman" w:hAnsi="Times New Roman" w:eastAsia="宋体" w:cs="Times New Roman"/>
          <w:sz w:val="44"/>
          <w:szCs w:val="44"/>
          <w:lang w:eastAsia="zh-CN"/>
        </w:rPr>
      </w:pPr>
    </w:p>
    <w:p>
      <w:pPr>
        <w:jc w:val="center"/>
        <w:rPr>
          <w:rFonts w:hint="default" w:ascii="Times New Roman" w:hAnsi="Times New Roman" w:eastAsia="宋体" w:cs="Times New Roman"/>
          <w:sz w:val="44"/>
          <w:szCs w:val="44"/>
          <w:lang w:eastAsia="zh-CN"/>
        </w:rPr>
      </w:pPr>
    </w:p>
    <w:p>
      <w:pPr>
        <w:jc w:val="center"/>
        <w:rPr>
          <w:rFonts w:hint="default" w:ascii="Times New Roman" w:hAnsi="Times New Roman" w:eastAsia="宋体" w:cs="Times New Roman"/>
          <w:sz w:val="44"/>
          <w:szCs w:val="44"/>
          <w:lang w:eastAsia="zh-CN"/>
        </w:rPr>
      </w:pPr>
    </w:p>
    <w:p>
      <w:pPr>
        <w:jc w:val="center"/>
        <w:rPr>
          <w:rFonts w:hint="default" w:ascii="Times New Roman" w:hAnsi="Times New Roman" w:eastAsia="宋体" w:cs="Times New Roman"/>
          <w:sz w:val="44"/>
          <w:szCs w:val="44"/>
          <w:lang w:eastAsia="zh-CN"/>
        </w:rPr>
      </w:pPr>
      <w:r>
        <w:rPr>
          <w:rFonts w:hint="default" w:ascii="Times New Roman" w:hAnsi="Times New Roman" w:eastAsia="宋体" w:cs="Times New Roman"/>
          <w:sz w:val="52"/>
          <w:szCs w:val="52"/>
          <w:lang w:eastAsia="zh-CN"/>
        </w:rPr>
        <w:t>建设项目环境影响报告表</w:t>
      </w:r>
    </w:p>
    <w:p>
      <w:pPr>
        <w:jc w:val="center"/>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eastAsia="zh-CN"/>
        </w:rPr>
        <w:t>（污染影响类）</w:t>
      </w:r>
    </w:p>
    <w:p>
      <w:pPr>
        <w:jc w:val="center"/>
        <w:rPr>
          <w:rFonts w:hint="default" w:ascii="Times New Roman" w:hAnsi="Times New Roman" w:eastAsia="宋体" w:cs="Times New Roman"/>
          <w:sz w:val="32"/>
          <w:szCs w:val="32"/>
          <w:lang w:eastAsia="zh-CN"/>
        </w:rPr>
      </w:pPr>
    </w:p>
    <w:p>
      <w:pPr>
        <w:jc w:val="center"/>
        <w:rPr>
          <w:rFonts w:hint="default" w:ascii="Times New Roman" w:hAnsi="Times New Roman" w:eastAsia="宋体" w:cs="Times New Roman"/>
          <w:sz w:val="32"/>
          <w:szCs w:val="32"/>
          <w:lang w:eastAsia="zh-CN"/>
        </w:rPr>
      </w:pPr>
    </w:p>
    <w:p>
      <w:pPr>
        <w:jc w:val="center"/>
        <w:rPr>
          <w:rFonts w:hint="default" w:ascii="Times New Roman" w:hAnsi="Times New Roman" w:eastAsia="宋体" w:cs="Times New Roman"/>
          <w:sz w:val="32"/>
          <w:szCs w:val="32"/>
          <w:lang w:eastAsia="zh-CN"/>
        </w:rPr>
      </w:pPr>
    </w:p>
    <w:p>
      <w:pPr>
        <w:jc w:val="center"/>
        <w:rPr>
          <w:rFonts w:hint="default" w:ascii="Times New Roman" w:hAnsi="Times New Roman" w:eastAsia="宋体" w:cs="Times New Roman"/>
          <w:sz w:val="32"/>
          <w:szCs w:val="32"/>
          <w:lang w:eastAsia="zh-CN"/>
        </w:rPr>
      </w:pPr>
      <w:bookmarkStart w:id="0" w:name="_GoBack"/>
      <w:bookmarkEnd w:id="0"/>
    </w:p>
    <w:p>
      <w:pPr>
        <w:jc w:val="center"/>
        <w:rPr>
          <w:rFonts w:hint="default" w:ascii="Times New Roman" w:hAnsi="Times New Roman" w:eastAsia="宋体" w:cs="Times New Roman"/>
          <w:sz w:val="32"/>
          <w:szCs w:val="32"/>
          <w:lang w:eastAsia="zh-CN"/>
        </w:rPr>
      </w:pPr>
    </w:p>
    <w:p>
      <w:pPr>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项目名称：</w:t>
      </w:r>
      <w:r>
        <w:rPr>
          <w:rFonts w:hint="eastAsia" w:ascii="Times New Roman" w:hAnsi="Times New Roman" w:eastAsia="宋体" w:cs="Times New Roman"/>
          <w:sz w:val="28"/>
          <w:szCs w:val="28"/>
          <w:u w:val="single"/>
          <w:lang w:eastAsia="zh-CN"/>
        </w:rPr>
        <w:t>洱源牛街馨馨洗涤中心</w:t>
      </w:r>
      <w:r>
        <w:rPr>
          <w:rFonts w:hint="default" w:ascii="Times New Roman" w:hAnsi="Times New Roman" w:eastAsia="宋体" w:cs="Times New Roman"/>
          <w:sz w:val="28"/>
          <w:szCs w:val="28"/>
          <w:u w:val="single"/>
          <w:lang w:eastAsia="zh-CN"/>
        </w:rPr>
        <w:t>建设项目</w:t>
      </w:r>
    </w:p>
    <w:p>
      <w:pPr>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建设单位（盖章）：</w:t>
      </w:r>
      <w:r>
        <w:rPr>
          <w:rFonts w:hint="eastAsia" w:ascii="Times New Roman" w:hAnsi="Times New Roman" w:eastAsia="宋体" w:cs="Times New Roman"/>
          <w:sz w:val="28"/>
          <w:szCs w:val="28"/>
          <w:u w:val="single"/>
          <w:lang w:eastAsia="zh-CN"/>
        </w:rPr>
        <w:t>洱源牛街馨馨洗涤中心</w:t>
      </w:r>
    </w:p>
    <w:p>
      <w:pPr>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eastAsia="zh-CN"/>
        </w:rPr>
        <w:t>编制日期：</w:t>
      </w:r>
      <w:r>
        <w:rPr>
          <w:rFonts w:hint="default" w:ascii="Times New Roman" w:hAnsi="Times New Roman" w:eastAsia="宋体" w:cs="Times New Roman"/>
          <w:sz w:val="28"/>
          <w:szCs w:val="28"/>
          <w:u w:val="single"/>
          <w:lang w:val="en-US" w:eastAsia="zh-CN"/>
        </w:rPr>
        <w:t>202</w:t>
      </w:r>
      <w:r>
        <w:rPr>
          <w:rFonts w:hint="eastAsia" w:ascii="Times New Roman" w:hAnsi="Times New Roman" w:eastAsia="宋体" w:cs="Times New Roman"/>
          <w:sz w:val="28"/>
          <w:szCs w:val="28"/>
          <w:u w:val="single"/>
          <w:lang w:val="en-US" w:eastAsia="zh-CN"/>
        </w:rPr>
        <w:t>4</w:t>
      </w:r>
      <w:r>
        <w:rPr>
          <w:rFonts w:hint="default" w:ascii="Times New Roman" w:hAnsi="Times New Roman" w:eastAsia="宋体" w:cs="Times New Roman"/>
          <w:sz w:val="28"/>
          <w:szCs w:val="28"/>
          <w:u w:val="single"/>
          <w:lang w:val="en-US" w:eastAsia="zh-CN"/>
        </w:rPr>
        <w:t>年</w:t>
      </w:r>
      <w:r>
        <w:rPr>
          <w:rFonts w:hint="eastAsia" w:ascii="Times New Roman" w:hAnsi="Times New Roman" w:eastAsia="宋体" w:cs="Times New Roman"/>
          <w:sz w:val="28"/>
          <w:szCs w:val="28"/>
          <w:u w:val="single"/>
          <w:lang w:val="en-US" w:eastAsia="zh-CN"/>
        </w:rPr>
        <w:t>10</w:t>
      </w:r>
      <w:r>
        <w:rPr>
          <w:rFonts w:hint="default" w:ascii="Times New Roman" w:hAnsi="Times New Roman" w:eastAsia="宋体" w:cs="Times New Roman"/>
          <w:sz w:val="28"/>
          <w:szCs w:val="28"/>
          <w:u w:val="single"/>
          <w:lang w:val="en-US" w:eastAsia="zh-CN"/>
        </w:rPr>
        <w:t>月</w:t>
      </w:r>
    </w:p>
    <w:p>
      <w:pPr>
        <w:jc w:val="center"/>
        <w:rPr>
          <w:rFonts w:hint="default" w:ascii="Times New Roman" w:hAnsi="Times New Roman" w:eastAsia="宋体" w:cs="Times New Roman"/>
          <w:sz w:val="28"/>
          <w:szCs w:val="28"/>
          <w:lang w:val="en-US" w:eastAsia="zh-CN"/>
        </w:rPr>
      </w:pPr>
    </w:p>
    <w:p>
      <w:pPr>
        <w:jc w:val="both"/>
        <w:rPr>
          <w:rFonts w:hint="default" w:ascii="Times New Roman" w:hAnsi="Times New Roman" w:eastAsia="宋体" w:cs="Times New Roman"/>
          <w:sz w:val="28"/>
          <w:szCs w:val="28"/>
          <w:lang w:val="en-US" w:eastAsia="zh-CN"/>
        </w:rPr>
      </w:pPr>
    </w:p>
    <w:p>
      <w:pPr>
        <w:jc w:val="center"/>
        <w:rPr>
          <w:rFonts w:hint="default" w:ascii="Times New Roman" w:hAnsi="Times New Roman" w:eastAsia="宋体" w:cs="Times New Roman"/>
          <w:sz w:val="28"/>
          <w:szCs w:val="28"/>
          <w:lang w:val="en-US" w:eastAsia="zh-CN"/>
        </w:rPr>
      </w:pPr>
    </w:p>
    <w:p>
      <w:pPr>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中华人民共和国生态环境部制</w:t>
      </w:r>
    </w:p>
    <w:p>
      <w:pPr>
        <w:jc w:val="both"/>
        <w:rPr>
          <w:rFonts w:hint="default" w:ascii="Times New Roman" w:hAnsi="Times New Roman" w:eastAsia="宋体" w:cs="Times New Roman"/>
          <w:sz w:val="28"/>
          <w:szCs w:val="28"/>
          <w:lang w:val="en-US" w:eastAsia="zh-CN"/>
        </w:rPr>
      </w:pPr>
    </w:p>
    <w:p>
      <w:pPr>
        <w:jc w:val="both"/>
        <w:rPr>
          <w:rFonts w:hint="default" w:ascii="Times New Roman" w:hAnsi="Times New Roman" w:eastAsia="宋体" w:cs="Times New Roman"/>
          <w:sz w:val="28"/>
          <w:szCs w:val="28"/>
          <w:lang w:val="en-US" w:eastAsia="zh-CN"/>
        </w:rPr>
      </w:pPr>
    </w:p>
    <w:p>
      <w:pPr>
        <w:jc w:val="both"/>
        <w:rPr>
          <w:rFonts w:hint="default" w:ascii="Times New Roman" w:hAnsi="Times New Roman" w:eastAsia="宋体" w:cs="Times New Roman"/>
          <w:sz w:val="28"/>
          <w:szCs w:val="28"/>
          <w:lang w:val="en-US" w:eastAsia="zh-CN"/>
        </w:rPr>
      </w:pPr>
    </w:p>
    <w:p>
      <w:pPr>
        <w:pStyle w:val="3"/>
        <w:bidi w:val="0"/>
        <w:rPr>
          <w:rFonts w:hint="eastAsia"/>
          <w:lang w:val="en-US" w:eastAsia="zh-CN"/>
        </w:rPr>
        <w:sectPr>
          <w:pgSz w:w="11906" w:h="16838"/>
          <w:pgMar w:top="1440" w:right="1800" w:bottom="1440" w:left="1800" w:header="851" w:footer="992" w:gutter="0"/>
          <w:cols w:space="425" w:num="1"/>
          <w:docGrid w:type="lines" w:linePitch="312" w:charSpace="0"/>
        </w:sectPr>
      </w:pPr>
    </w:p>
    <w:p>
      <w:pPr>
        <w:pStyle w:val="3"/>
        <w:bidi w:val="0"/>
        <w:rPr>
          <w:rFonts w:hint="eastAsia"/>
          <w:lang w:val="en-US" w:eastAsia="zh-CN"/>
        </w:rPr>
      </w:pPr>
      <w:r>
        <w:rPr>
          <w:rFonts w:hint="eastAsia"/>
          <w:lang w:val="en-US" w:eastAsia="zh-CN"/>
        </w:rPr>
        <w:t>一、建设项目基本情况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2010"/>
        <w:gridCol w:w="1755"/>
        <w:gridCol w:w="3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vAlign w:val="center"/>
          </w:tcPr>
          <w:p>
            <w:pPr>
              <w:bidi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建设项目名称</w:t>
            </w:r>
          </w:p>
        </w:tc>
        <w:tc>
          <w:tcPr>
            <w:tcW w:w="6968" w:type="dxa"/>
            <w:gridSpan w:val="3"/>
            <w:vAlign w:val="center"/>
          </w:tcPr>
          <w:p>
            <w:pPr>
              <w:bidi w:val="0"/>
              <w:spacing w:line="24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洱源牛街馨馨洗涤中心</w:t>
            </w:r>
            <w:r>
              <w:rPr>
                <w:rFonts w:hint="default" w:ascii="Times New Roman" w:hAnsi="Times New Roman" w:eastAsia="宋体" w:cs="Times New Roman"/>
                <w:color w:val="auto"/>
                <w:sz w:val="24"/>
                <w:szCs w:val="24"/>
                <w:lang w:eastAsia="zh-CN"/>
              </w:rPr>
              <w:t>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vAlign w:val="center"/>
          </w:tcPr>
          <w:p>
            <w:pPr>
              <w:bidi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项目代码</w:t>
            </w:r>
          </w:p>
        </w:tc>
        <w:tc>
          <w:tcPr>
            <w:tcW w:w="6968" w:type="dxa"/>
            <w:gridSpan w:val="3"/>
            <w:vAlign w:val="center"/>
          </w:tcPr>
          <w:p>
            <w:pPr>
              <w:bidi w:val="0"/>
              <w:spacing w:line="24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2310-532930-04-05-769512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vAlign w:val="center"/>
          </w:tcPr>
          <w:p>
            <w:pPr>
              <w:bidi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建设单位联系人</w:t>
            </w:r>
          </w:p>
        </w:tc>
        <w:tc>
          <w:tcPr>
            <w:tcW w:w="2010" w:type="dxa"/>
            <w:vAlign w:val="center"/>
          </w:tcPr>
          <w:p>
            <w:pPr>
              <w:bidi w:val="0"/>
              <w:spacing w:line="24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彭飞</w:t>
            </w:r>
          </w:p>
        </w:tc>
        <w:tc>
          <w:tcPr>
            <w:tcW w:w="1755" w:type="dxa"/>
            <w:vAlign w:val="center"/>
          </w:tcPr>
          <w:p>
            <w:pPr>
              <w:bidi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联系方式</w:t>
            </w:r>
          </w:p>
        </w:tc>
        <w:tc>
          <w:tcPr>
            <w:tcW w:w="3203" w:type="dxa"/>
            <w:vAlign w:val="center"/>
          </w:tcPr>
          <w:p>
            <w:pPr>
              <w:bidi w:val="0"/>
              <w:spacing w:line="24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15808846457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vAlign w:val="center"/>
          </w:tcPr>
          <w:p>
            <w:pPr>
              <w:bidi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建设地点</w:t>
            </w:r>
          </w:p>
        </w:tc>
        <w:tc>
          <w:tcPr>
            <w:tcW w:w="6968" w:type="dxa"/>
            <w:gridSpan w:val="3"/>
            <w:vAlign w:val="center"/>
          </w:tcPr>
          <w:p>
            <w:pPr>
              <w:bidi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u w:val="single"/>
                <w:lang w:val="en-US" w:eastAsia="zh-CN"/>
              </w:rPr>
              <w:t>云南</w:t>
            </w:r>
            <w:r>
              <w:rPr>
                <w:rFonts w:hint="default" w:ascii="Times New Roman" w:hAnsi="Times New Roman" w:eastAsia="宋体" w:cs="Times New Roman"/>
                <w:color w:val="auto"/>
                <w:sz w:val="24"/>
                <w:szCs w:val="24"/>
                <w:lang w:val="en-US" w:eastAsia="zh-CN"/>
              </w:rPr>
              <w:t>省（自治区）</w:t>
            </w:r>
            <w:r>
              <w:rPr>
                <w:rFonts w:hint="default" w:ascii="Times New Roman" w:hAnsi="Times New Roman" w:eastAsia="宋体" w:cs="Times New Roman"/>
                <w:color w:val="auto"/>
                <w:sz w:val="24"/>
                <w:szCs w:val="24"/>
                <w:u w:val="single"/>
                <w:lang w:val="en-US" w:eastAsia="zh-CN"/>
              </w:rPr>
              <w:t>大理白族自治</w:t>
            </w:r>
            <w:r>
              <w:rPr>
                <w:rFonts w:hint="default" w:ascii="Times New Roman" w:hAnsi="Times New Roman" w:eastAsia="宋体" w:cs="Times New Roman"/>
                <w:color w:val="auto"/>
                <w:sz w:val="24"/>
                <w:szCs w:val="24"/>
                <w:lang w:val="en-US" w:eastAsia="zh-CN"/>
              </w:rPr>
              <w:t>州</w:t>
            </w:r>
            <w:r>
              <w:rPr>
                <w:rFonts w:hint="eastAsia" w:ascii="Times New Roman" w:hAnsi="Times New Roman" w:eastAsia="宋体" w:cs="Times New Roman"/>
                <w:color w:val="auto"/>
                <w:sz w:val="24"/>
                <w:szCs w:val="24"/>
                <w:u w:val="single"/>
                <w:lang w:val="en-US" w:eastAsia="zh-CN"/>
              </w:rPr>
              <w:t>洱源</w:t>
            </w:r>
            <w:r>
              <w:rPr>
                <w:rFonts w:hint="default" w:ascii="Times New Roman" w:hAnsi="Times New Roman" w:eastAsia="宋体" w:cs="Times New Roman"/>
                <w:color w:val="auto"/>
                <w:sz w:val="24"/>
                <w:szCs w:val="24"/>
                <w:lang w:val="en-US" w:eastAsia="zh-CN"/>
              </w:rPr>
              <w:t>县</w:t>
            </w:r>
            <w:r>
              <w:rPr>
                <w:rFonts w:hint="eastAsia" w:ascii="Times New Roman" w:hAnsi="Times New Roman" w:eastAsia="宋体" w:cs="Times New Roman"/>
                <w:color w:val="auto"/>
                <w:sz w:val="24"/>
                <w:szCs w:val="24"/>
                <w:u w:val="single"/>
                <w:lang w:val="en-US" w:eastAsia="zh-CN"/>
              </w:rPr>
              <w:t>牛街乡太平</w:t>
            </w:r>
            <w:r>
              <w:rPr>
                <w:rFonts w:hint="default" w:ascii="Times New Roman" w:hAnsi="Times New Roman" w:eastAsia="宋体" w:cs="Times New Roman"/>
                <w:color w:val="auto"/>
                <w:sz w:val="24"/>
                <w:szCs w:val="24"/>
                <w:u w:val="single"/>
                <w:lang w:val="en-US" w:eastAsia="zh-CN"/>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vAlign w:val="center"/>
          </w:tcPr>
          <w:p>
            <w:pPr>
              <w:bidi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地理坐标</w:t>
            </w:r>
          </w:p>
        </w:tc>
        <w:tc>
          <w:tcPr>
            <w:tcW w:w="6968" w:type="dxa"/>
            <w:gridSpan w:val="3"/>
            <w:vAlign w:val="center"/>
          </w:tcPr>
          <w:p>
            <w:pPr>
              <w:bidi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vertAlign w:val="baseline"/>
                <w:lang w:val="en-US" w:eastAsia="zh-CN"/>
              </w:rPr>
              <w:t>（</w:t>
            </w:r>
            <w:r>
              <w:rPr>
                <w:rFonts w:hint="default" w:ascii="Times New Roman" w:hAnsi="Times New Roman" w:eastAsia="宋体" w:cs="Times New Roman"/>
                <w:color w:val="auto"/>
                <w:sz w:val="24"/>
                <w:szCs w:val="24"/>
                <w:u w:val="single"/>
                <w:vertAlign w:val="baseline"/>
                <w:lang w:val="en-US" w:eastAsia="zh-CN"/>
              </w:rPr>
              <w:t xml:space="preserve">  100 </w:t>
            </w:r>
            <w:r>
              <w:rPr>
                <w:rFonts w:hint="default" w:ascii="Times New Roman" w:hAnsi="Times New Roman" w:eastAsia="宋体" w:cs="Times New Roman"/>
                <w:color w:val="auto"/>
                <w:sz w:val="24"/>
                <w:szCs w:val="24"/>
                <w:vertAlign w:val="baseline"/>
                <w:lang w:val="en-US" w:eastAsia="zh-CN"/>
              </w:rPr>
              <w:t>度</w:t>
            </w:r>
            <w:r>
              <w:rPr>
                <w:rFonts w:hint="default" w:ascii="Times New Roman" w:hAnsi="Times New Roman" w:eastAsia="宋体" w:cs="Times New Roman"/>
                <w:color w:val="auto"/>
                <w:sz w:val="24"/>
                <w:szCs w:val="24"/>
                <w:u w:val="single"/>
                <w:vertAlign w:val="baseline"/>
                <w:lang w:val="en-US" w:eastAsia="zh-CN"/>
              </w:rPr>
              <w:t xml:space="preserve"> </w:t>
            </w:r>
            <w:r>
              <w:rPr>
                <w:rFonts w:hint="eastAsia" w:ascii="Times New Roman" w:hAnsi="Times New Roman" w:eastAsia="宋体" w:cs="Times New Roman"/>
                <w:color w:val="auto"/>
                <w:sz w:val="24"/>
                <w:szCs w:val="24"/>
                <w:u w:val="single"/>
                <w:vertAlign w:val="baseline"/>
                <w:lang w:val="en-US" w:eastAsia="zh-CN"/>
              </w:rPr>
              <w:t>0</w:t>
            </w:r>
            <w:r>
              <w:rPr>
                <w:rFonts w:hint="default" w:ascii="Times New Roman" w:hAnsi="Times New Roman" w:eastAsia="宋体" w:cs="Times New Roman"/>
                <w:color w:val="auto"/>
                <w:sz w:val="24"/>
                <w:szCs w:val="24"/>
                <w:u w:val="single"/>
                <w:vertAlign w:val="baseline"/>
                <w:lang w:val="en-US" w:eastAsia="zh-CN"/>
              </w:rPr>
              <w:t xml:space="preserve">  </w:t>
            </w:r>
            <w:r>
              <w:rPr>
                <w:rFonts w:hint="default" w:ascii="Times New Roman" w:hAnsi="Times New Roman" w:eastAsia="宋体" w:cs="Times New Roman"/>
                <w:color w:val="auto"/>
                <w:sz w:val="24"/>
                <w:szCs w:val="24"/>
                <w:vertAlign w:val="baseline"/>
                <w:lang w:val="en-US" w:eastAsia="zh-CN"/>
              </w:rPr>
              <w:t>分</w:t>
            </w:r>
            <w:r>
              <w:rPr>
                <w:rFonts w:hint="default" w:ascii="Times New Roman" w:hAnsi="Times New Roman" w:eastAsia="宋体" w:cs="Times New Roman"/>
                <w:color w:val="auto"/>
                <w:sz w:val="24"/>
                <w:szCs w:val="24"/>
                <w:u w:val="single"/>
                <w:vertAlign w:val="baseline"/>
                <w:lang w:val="en-US" w:eastAsia="zh-CN"/>
              </w:rPr>
              <w:t xml:space="preserve"> </w:t>
            </w:r>
            <w:r>
              <w:rPr>
                <w:rFonts w:hint="eastAsia" w:ascii="Times New Roman" w:hAnsi="Times New Roman" w:eastAsia="宋体" w:cs="Times New Roman"/>
                <w:color w:val="auto"/>
                <w:sz w:val="24"/>
                <w:szCs w:val="24"/>
                <w:u w:val="single"/>
                <w:vertAlign w:val="baseline"/>
                <w:lang w:val="en-US" w:eastAsia="zh-CN"/>
              </w:rPr>
              <w:t>10.638</w:t>
            </w:r>
            <w:r>
              <w:rPr>
                <w:rFonts w:hint="default" w:ascii="Times New Roman" w:hAnsi="Times New Roman" w:eastAsia="宋体" w:cs="Times New Roman"/>
                <w:color w:val="auto"/>
                <w:sz w:val="24"/>
                <w:szCs w:val="24"/>
                <w:u w:val="single"/>
                <w:vertAlign w:val="baseline"/>
                <w:lang w:val="en-US" w:eastAsia="zh-CN"/>
              </w:rPr>
              <w:t xml:space="preserve"> </w:t>
            </w:r>
            <w:r>
              <w:rPr>
                <w:rFonts w:hint="default" w:ascii="Times New Roman" w:hAnsi="Times New Roman" w:eastAsia="宋体" w:cs="Times New Roman"/>
                <w:color w:val="auto"/>
                <w:sz w:val="24"/>
                <w:szCs w:val="24"/>
                <w:vertAlign w:val="baseline"/>
                <w:lang w:val="en-US" w:eastAsia="zh-CN"/>
              </w:rPr>
              <w:t>秒，</w:t>
            </w:r>
            <w:r>
              <w:rPr>
                <w:rFonts w:hint="default" w:ascii="Times New Roman" w:hAnsi="Times New Roman" w:eastAsia="宋体" w:cs="Times New Roman"/>
                <w:color w:val="auto"/>
                <w:sz w:val="24"/>
                <w:szCs w:val="24"/>
                <w:u w:val="single"/>
                <w:vertAlign w:val="baseline"/>
                <w:lang w:val="en-US" w:eastAsia="zh-CN"/>
              </w:rPr>
              <w:t xml:space="preserve"> 2</w:t>
            </w:r>
            <w:r>
              <w:rPr>
                <w:rFonts w:hint="eastAsia" w:ascii="Times New Roman" w:hAnsi="Times New Roman" w:eastAsia="宋体" w:cs="Times New Roman"/>
                <w:color w:val="auto"/>
                <w:sz w:val="24"/>
                <w:szCs w:val="24"/>
                <w:u w:val="single"/>
                <w:vertAlign w:val="baseline"/>
                <w:lang w:val="en-US" w:eastAsia="zh-CN"/>
              </w:rPr>
              <w:t>6</w:t>
            </w:r>
            <w:r>
              <w:rPr>
                <w:rFonts w:hint="default" w:ascii="Times New Roman" w:hAnsi="Times New Roman" w:eastAsia="宋体" w:cs="Times New Roman"/>
                <w:color w:val="auto"/>
                <w:sz w:val="24"/>
                <w:szCs w:val="24"/>
                <w:u w:val="single"/>
                <w:vertAlign w:val="baseline"/>
                <w:lang w:val="en-US" w:eastAsia="zh-CN"/>
              </w:rPr>
              <w:t xml:space="preserve">  </w:t>
            </w:r>
            <w:r>
              <w:rPr>
                <w:rFonts w:hint="default" w:ascii="Times New Roman" w:hAnsi="Times New Roman" w:eastAsia="宋体" w:cs="Times New Roman"/>
                <w:color w:val="auto"/>
                <w:sz w:val="24"/>
                <w:szCs w:val="24"/>
                <w:vertAlign w:val="baseline"/>
                <w:lang w:val="en-US" w:eastAsia="zh-CN"/>
              </w:rPr>
              <w:t>度</w:t>
            </w:r>
            <w:r>
              <w:rPr>
                <w:rFonts w:hint="default" w:ascii="Times New Roman" w:hAnsi="Times New Roman" w:eastAsia="宋体" w:cs="Times New Roman"/>
                <w:color w:val="auto"/>
                <w:sz w:val="24"/>
                <w:szCs w:val="24"/>
                <w:u w:val="single"/>
                <w:vertAlign w:val="baseline"/>
                <w:lang w:val="en-US" w:eastAsia="zh-CN"/>
              </w:rPr>
              <w:t xml:space="preserve"> </w:t>
            </w:r>
            <w:r>
              <w:rPr>
                <w:rFonts w:hint="eastAsia" w:ascii="Times New Roman" w:hAnsi="Times New Roman" w:eastAsia="宋体" w:cs="Times New Roman"/>
                <w:color w:val="auto"/>
                <w:sz w:val="24"/>
                <w:szCs w:val="24"/>
                <w:u w:val="single"/>
                <w:vertAlign w:val="baseline"/>
                <w:lang w:val="en-US" w:eastAsia="zh-CN"/>
              </w:rPr>
              <w:t>17</w:t>
            </w:r>
            <w:r>
              <w:rPr>
                <w:rFonts w:hint="default" w:ascii="Times New Roman" w:hAnsi="Times New Roman" w:eastAsia="宋体" w:cs="Times New Roman"/>
                <w:color w:val="auto"/>
                <w:sz w:val="24"/>
                <w:szCs w:val="24"/>
                <w:u w:val="single"/>
                <w:vertAlign w:val="baseline"/>
                <w:lang w:val="en-US" w:eastAsia="zh-CN"/>
              </w:rPr>
              <w:t xml:space="preserve"> </w:t>
            </w:r>
            <w:r>
              <w:rPr>
                <w:rFonts w:hint="default" w:ascii="Times New Roman" w:hAnsi="Times New Roman" w:eastAsia="宋体" w:cs="Times New Roman"/>
                <w:color w:val="auto"/>
                <w:sz w:val="24"/>
                <w:szCs w:val="24"/>
                <w:vertAlign w:val="baseline"/>
                <w:lang w:val="en-US" w:eastAsia="zh-CN"/>
              </w:rPr>
              <w:t>分</w:t>
            </w:r>
            <w:r>
              <w:rPr>
                <w:rFonts w:hint="default" w:ascii="Times New Roman" w:hAnsi="Times New Roman" w:eastAsia="宋体" w:cs="Times New Roman"/>
                <w:color w:val="auto"/>
                <w:sz w:val="24"/>
                <w:szCs w:val="24"/>
                <w:u w:val="single"/>
                <w:vertAlign w:val="baseline"/>
                <w:lang w:val="en-US" w:eastAsia="zh-CN"/>
              </w:rPr>
              <w:t xml:space="preserve"> </w:t>
            </w:r>
            <w:r>
              <w:rPr>
                <w:rFonts w:hint="eastAsia" w:ascii="Times New Roman" w:hAnsi="Times New Roman" w:eastAsia="宋体" w:cs="Times New Roman"/>
                <w:color w:val="auto"/>
                <w:sz w:val="24"/>
                <w:szCs w:val="24"/>
                <w:u w:val="single"/>
                <w:vertAlign w:val="baseline"/>
                <w:lang w:val="en-US" w:eastAsia="zh-CN"/>
              </w:rPr>
              <w:t>13.612</w:t>
            </w:r>
            <w:r>
              <w:rPr>
                <w:rFonts w:hint="default" w:ascii="Times New Roman" w:hAnsi="Times New Roman" w:eastAsia="宋体" w:cs="Times New Roman"/>
                <w:color w:val="auto"/>
                <w:sz w:val="24"/>
                <w:szCs w:val="24"/>
                <w:u w:val="single"/>
                <w:vertAlign w:val="baseline"/>
                <w:lang w:val="en-US" w:eastAsia="zh-CN"/>
              </w:rPr>
              <w:t xml:space="preserve"> </w:t>
            </w:r>
            <w:r>
              <w:rPr>
                <w:rFonts w:hint="default" w:ascii="Times New Roman" w:hAnsi="Times New Roman" w:eastAsia="宋体" w:cs="Times New Roman"/>
                <w:color w:val="auto"/>
                <w:sz w:val="24"/>
                <w:szCs w:val="24"/>
                <w:vertAlign w:val="baseline"/>
                <w:lang w:val="en-US" w:eastAsia="zh-CN"/>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vAlign w:val="center"/>
          </w:tcPr>
          <w:p>
            <w:pPr>
              <w:bidi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国民经济行业类别</w:t>
            </w:r>
          </w:p>
        </w:tc>
        <w:tc>
          <w:tcPr>
            <w:tcW w:w="2010" w:type="dxa"/>
            <w:vAlign w:val="center"/>
          </w:tcPr>
          <w:p>
            <w:pPr>
              <w:bidi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8329其他清洁服务</w:t>
            </w:r>
          </w:p>
        </w:tc>
        <w:tc>
          <w:tcPr>
            <w:tcW w:w="1755" w:type="dxa"/>
            <w:vAlign w:val="center"/>
          </w:tcPr>
          <w:p>
            <w:pPr>
              <w:bidi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建设项目</w:t>
            </w:r>
          </w:p>
          <w:p>
            <w:pPr>
              <w:bidi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行业类别</w:t>
            </w:r>
          </w:p>
        </w:tc>
        <w:tc>
          <w:tcPr>
            <w:tcW w:w="3203" w:type="dxa"/>
            <w:vAlign w:val="center"/>
          </w:tcPr>
          <w:p>
            <w:pPr>
              <w:bidi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四十一、91热力生产和供应工程（包括建设单位自建自用的供热工程）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vAlign w:val="center"/>
          </w:tcPr>
          <w:p>
            <w:pPr>
              <w:bidi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建设性质</w:t>
            </w:r>
          </w:p>
        </w:tc>
        <w:tc>
          <w:tcPr>
            <w:tcW w:w="2010" w:type="dxa"/>
            <w:vAlign w:val="center"/>
          </w:tcPr>
          <w:p>
            <w:pPr>
              <w:spacing w:line="240" w:lineRule="auto"/>
              <w:jc w:val="left"/>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sym w:font="Wingdings" w:char="00FE"/>
            </w:r>
            <w:r>
              <w:rPr>
                <w:rFonts w:hint="default" w:ascii="Times New Roman" w:hAnsi="Times New Roman" w:eastAsia="宋体" w:cs="Times New Roman"/>
                <w:color w:val="auto"/>
                <w:sz w:val="24"/>
                <w:szCs w:val="24"/>
                <w:vertAlign w:val="baseline"/>
                <w:lang w:val="en-US" w:eastAsia="zh-CN"/>
              </w:rPr>
              <w:t>新建（迁建）</w:t>
            </w:r>
          </w:p>
          <w:p>
            <w:pPr>
              <w:spacing w:line="240" w:lineRule="auto"/>
              <w:jc w:val="left"/>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sym w:font="Wingdings" w:char="00A8"/>
            </w:r>
            <w:r>
              <w:rPr>
                <w:rFonts w:hint="default" w:ascii="Times New Roman" w:hAnsi="Times New Roman" w:eastAsia="宋体" w:cs="Times New Roman"/>
                <w:color w:val="auto"/>
                <w:sz w:val="24"/>
                <w:szCs w:val="24"/>
                <w:vertAlign w:val="baseline"/>
                <w:lang w:val="en-US" w:eastAsia="zh-CN"/>
              </w:rPr>
              <w:t>改建</w:t>
            </w:r>
          </w:p>
          <w:p>
            <w:pPr>
              <w:spacing w:line="240" w:lineRule="auto"/>
              <w:jc w:val="left"/>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sym w:font="Wingdings" w:char="00A8"/>
            </w:r>
            <w:r>
              <w:rPr>
                <w:rFonts w:hint="default" w:ascii="Times New Roman" w:hAnsi="Times New Roman" w:eastAsia="宋体" w:cs="Times New Roman"/>
                <w:color w:val="auto"/>
                <w:sz w:val="24"/>
                <w:szCs w:val="24"/>
                <w:vertAlign w:val="baseline"/>
                <w:lang w:val="en-US" w:eastAsia="zh-CN"/>
              </w:rPr>
              <w:t>扩建</w:t>
            </w:r>
          </w:p>
          <w:p>
            <w:pPr>
              <w:bidi w:val="0"/>
              <w:spacing w:line="240" w:lineRule="auto"/>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vertAlign w:val="baseline"/>
                <w:lang w:val="en-US" w:eastAsia="zh-CN"/>
              </w:rPr>
              <w:sym w:font="Wingdings" w:char="00A8"/>
            </w:r>
            <w:r>
              <w:rPr>
                <w:rFonts w:hint="default" w:ascii="Times New Roman" w:hAnsi="Times New Roman" w:eastAsia="宋体" w:cs="Times New Roman"/>
                <w:color w:val="auto"/>
                <w:sz w:val="24"/>
                <w:szCs w:val="24"/>
                <w:vertAlign w:val="baseline"/>
                <w:lang w:val="en-US" w:eastAsia="zh-CN"/>
              </w:rPr>
              <w:t>技术改造</w:t>
            </w:r>
          </w:p>
        </w:tc>
        <w:tc>
          <w:tcPr>
            <w:tcW w:w="1755" w:type="dxa"/>
            <w:vAlign w:val="center"/>
          </w:tcPr>
          <w:p>
            <w:pPr>
              <w:bidi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建设项目</w:t>
            </w:r>
          </w:p>
          <w:p>
            <w:pPr>
              <w:bidi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申报情形</w:t>
            </w:r>
          </w:p>
        </w:tc>
        <w:tc>
          <w:tcPr>
            <w:tcW w:w="3203" w:type="dxa"/>
            <w:vAlign w:val="center"/>
          </w:tcPr>
          <w:p>
            <w:pPr>
              <w:spacing w:line="240" w:lineRule="auto"/>
              <w:jc w:val="left"/>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sym w:font="Wingdings" w:char="00FE"/>
            </w:r>
            <w:r>
              <w:rPr>
                <w:rFonts w:hint="default" w:ascii="Times New Roman" w:hAnsi="Times New Roman" w:eastAsia="宋体" w:cs="Times New Roman"/>
                <w:color w:val="auto"/>
                <w:sz w:val="24"/>
                <w:szCs w:val="24"/>
                <w:vertAlign w:val="baseline"/>
                <w:lang w:val="en-US" w:eastAsia="zh-CN"/>
              </w:rPr>
              <w:t>首次申报项目</w:t>
            </w:r>
          </w:p>
          <w:p>
            <w:pPr>
              <w:spacing w:line="240" w:lineRule="auto"/>
              <w:jc w:val="left"/>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sym w:font="Wingdings" w:char="00A8"/>
            </w:r>
            <w:r>
              <w:rPr>
                <w:rFonts w:hint="default" w:ascii="Times New Roman" w:hAnsi="Times New Roman" w:eastAsia="宋体" w:cs="Times New Roman"/>
                <w:color w:val="auto"/>
                <w:sz w:val="24"/>
                <w:szCs w:val="24"/>
                <w:vertAlign w:val="baseline"/>
                <w:lang w:val="en-US" w:eastAsia="zh-CN"/>
              </w:rPr>
              <w:t>不予批准后再次申报项目</w:t>
            </w:r>
          </w:p>
          <w:p>
            <w:pPr>
              <w:spacing w:line="240" w:lineRule="auto"/>
              <w:jc w:val="left"/>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sym w:font="Wingdings" w:char="00A8"/>
            </w:r>
            <w:r>
              <w:rPr>
                <w:rFonts w:hint="default" w:ascii="Times New Roman" w:hAnsi="Times New Roman" w:eastAsia="宋体" w:cs="Times New Roman"/>
                <w:color w:val="auto"/>
                <w:sz w:val="24"/>
                <w:szCs w:val="24"/>
                <w:vertAlign w:val="baseline"/>
                <w:lang w:val="en-US" w:eastAsia="zh-CN"/>
              </w:rPr>
              <w:t>超五年重新审核项目</w:t>
            </w:r>
          </w:p>
          <w:p>
            <w:pPr>
              <w:bidi w:val="0"/>
              <w:spacing w:line="240" w:lineRule="auto"/>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vertAlign w:val="baseline"/>
                <w:lang w:val="en-US" w:eastAsia="zh-CN"/>
              </w:rPr>
              <w:sym w:font="Wingdings" w:char="00A8"/>
            </w:r>
            <w:r>
              <w:rPr>
                <w:rFonts w:hint="default" w:ascii="Times New Roman" w:hAnsi="Times New Roman" w:eastAsia="宋体" w:cs="Times New Roman"/>
                <w:color w:val="auto"/>
                <w:sz w:val="24"/>
                <w:szCs w:val="24"/>
                <w:vertAlign w:val="baseline"/>
                <w:lang w:val="en-US" w:eastAsia="zh-CN"/>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vAlign w:val="center"/>
          </w:tcPr>
          <w:p>
            <w:pPr>
              <w:bidi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项目审批（核准/备案）部门（选填）</w:t>
            </w:r>
          </w:p>
        </w:tc>
        <w:tc>
          <w:tcPr>
            <w:tcW w:w="2010" w:type="dxa"/>
            <w:vAlign w:val="center"/>
          </w:tcPr>
          <w:p>
            <w:pPr>
              <w:bidi w:val="0"/>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洱源</w:t>
            </w:r>
            <w:r>
              <w:rPr>
                <w:rFonts w:hint="default" w:ascii="Times New Roman" w:hAnsi="Times New Roman" w:eastAsia="宋体" w:cs="Times New Roman"/>
                <w:color w:val="auto"/>
                <w:sz w:val="24"/>
                <w:szCs w:val="24"/>
                <w:vertAlign w:val="baseline"/>
                <w:lang w:val="en-US" w:eastAsia="zh-CN"/>
              </w:rPr>
              <w:t>县发展和改革局</w:t>
            </w:r>
          </w:p>
        </w:tc>
        <w:tc>
          <w:tcPr>
            <w:tcW w:w="1755" w:type="dxa"/>
            <w:vAlign w:val="center"/>
          </w:tcPr>
          <w:p>
            <w:pPr>
              <w:bidi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项目审批（核准/备案）文号（选填）</w:t>
            </w:r>
          </w:p>
        </w:tc>
        <w:tc>
          <w:tcPr>
            <w:tcW w:w="3203" w:type="dxa"/>
            <w:vAlign w:val="center"/>
          </w:tcPr>
          <w:p>
            <w:pPr>
              <w:bidi w:val="0"/>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vAlign w:val="center"/>
          </w:tcPr>
          <w:p>
            <w:pPr>
              <w:bidi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总投资（万元）</w:t>
            </w:r>
          </w:p>
        </w:tc>
        <w:tc>
          <w:tcPr>
            <w:tcW w:w="2010" w:type="dxa"/>
            <w:vAlign w:val="center"/>
          </w:tcPr>
          <w:p>
            <w:pPr>
              <w:bidi w:val="0"/>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150</w:t>
            </w:r>
          </w:p>
        </w:tc>
        <w:tc>
          <w:tcPr>
            <w:tcW w:w="1755" w:type="dxa"/>
            <w:vAlign w:val="center"/>
          </w:tcPr>
          <w:p>
            <w:pPr>
              <w:bidi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环保投资（万元）</w:t>
            </w:r>
          </w:p>
        </w:tc>
        <w:tc>
          <w:tcPr>
            <w:tcW w:w="3203" w:type="dxa"/>
            <w:vAlign w:val="center"/>
          </w:tcPr>
          <w:p>
            <w:pPr>
              <w:bidi w:val="0"/>
              <w:spacing w:line="240" w:lineRule="auto"/>
              <w:jc w:val="center"/>
              <w:rPr>
                <w:rFonts w:hint="default"/>
                <w:color w:val="auto"/>
                <w:lang w:val="en-US" w:eastAsia="zh-CN"/>
              </w:rPr>
            </w:pPr>
            <w:r>
              <w:rPr>
                <w:rFonts w:hint="eastAsia"/>
                <w:color w:val="auto"/>
                <w:lang w:val="en-US" w:eastAsia="zh-CN"/>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vAlign w:val="center"/>
          </w:tcPr>
          <w:p>
            <w:pPr>
              <w:bidi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环保投资占比（%）</w:t>
            </w:r>
          </w:p>
        </w:tc>
        <w:tc>
          <w:tcPr>
            <w:tcW w:w="2010" w:type="dxa"/>
            <w:vAlign w:val="center"/>
          </w:tcPr>
          <w:p>
            <w:pPr>
              <w:bidi w:val="0"/>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9.07</w:t>
            </w:r>
          </w:p>
        </w:tc>
        <w:tc>
          <w:tcPr>
            <w:tcW w:w="1755" w:type="dxa"/>
            <w:vAlign w:val="center"/>
          </w:tcPr>
          <w:p>
            <w:pPr>
              <w:bidi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施工工期</w:t>
            </w:r>
          </w:p>
        </w:tc>
        <w:tc>
          <w:tcPr>
            <w:tcW w:w="3203" w:type="dxa"/>
            <w:vAlign w:val="center"/>
          </w:tcPr>
          <w:p>
            <w:pPr>
              <w:bidi w:val="0"/>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2</w:t>
            </w:r>
            <w:r>
              <w:rPr>
                <w:rFonts w:hint="default" w:ascii="Times New Roman" w:hAnsi="Times New Roman" w:eastAsia="宋体" w:cs="Times New Roman"/>
                <w:color w:val="auto"/>
                <w:sz w:val="24"/>
                <w:szCs w:val="24"/>
                <w:vertAlign w:val="baseline"/>
                <w:lang w:val="en-US" w:eastAsia="zh-CN"/>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vAlign w:val="center"/>
          </w:tcPr>
          <w:p>
            <w:pPr>
              <w:bidi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是否开工建设</w:t>
            </w:r>
          </w:p>
        </w:tc>
        <w:tc>
          <w:tcPr>
            <w:tcW w:w="2010" w:type="dxa"/>
            <w:vAlign w:val="center"/>
          </w:tcPr>
          <w:p>
            <w:pPr>
              <w:bidi w:val="0"/>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sym w:font="Wingdings" w:char="00A8"/>
            </w:r>
            <w:r>
              <w:rPr>
                <w:rFonts w:hint="default" w:ascii="Times New Roman" w:hAnsi="Times New Roman" w:eastAsia="宋体" w:cs="Times New Roman"/>
                <w:color w:val="auto"/>
                <w:sz w:val="24"/>
                <w:szCs w:val="24"/>
                <w:vertAlign w:val="baseline"/>
                <w:lang w:val="en-US" w:eastAsia="zh-CN"/>
              </w:rPr>
              <w:t>否</w:t>
            </w:r>
          </w:p>
          <w:p>
            <w:pPr>
              <w:bidi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sym w:font="Wingdings" w:char="00FE"/>
            </w:r>
            <w:r>
              <w:rPr>
                <w:rFonts w:hint="default" w:ascii="Times New Roman" w:hAnsi="Times New Roman" w:eastAsia="宋体" w:cs="Times New Roman"/>
                <w:color w:val="auto"/>
                <w:sz w:val="24"/>
                <w:szCs w:val="24"/>
                <w:lang w:val="en-US" w:eastAsia="zh-CN"/>
              </w:rPr>
              <w:t>是</w:t>
            </w:r>
            <w:r>
              <w:rPr>
                <w:rFonts w:hint="default" w:ascii="Times New Roman" w:hAnsi="Times New Roman" w:eastAsia="宋体" w:cs="Times New Roman"/>
                <w:color w:val="auto"/>
                <w:sz w:val="24"/>
                <w:szCs w:val="24"/>
                <w:vertAlign w:val="baseline"/>
                <w:lang w:val="en-US" w:eastAsia="zh-CN"/>
              </w:rPr>
              <w:t>：</w:t>
            </w:r>
            <w:r>
              <w:rPr>
                <w:rFonts w:hint="eastAsia" w:ascii="Times New Roman" w:hAnsi="Times New Roman" w:eastAsia="宋体" w:cs="Times New Roman"/>
                <w:color w:val="auto"/>
                <w:sz w:val="24"/>
                <w:szCs w:val="24"/>
                <w:u w:val="single"/>
                <w:vertAlign w:val="baseline"/>
                <w:lang w:val="en-US" w:eastAsia="zh-CN"/>
              </w:rPr>
              <w:t>建成一栋厂房，内设5台变频全自动工业洗脱机，3台全自动工业烘干机，1台3.3米四辊烫平机，1台3.3米五辊烫平机、1台3.3米全自动折叠机，2套2.5t/h生物质锅炉（一备一用）及各配套1套水膜除尘器，项目由电锅炉更换为生物质锅炉，现按相关要求办理环保手续</w:t>
            </w:r>
            <w:r>
              <w:rPr>
                <w:rFonts w:hint="eastAsia" w:ascii="Times New Roman" w:hAnsi="Times New Roman" w:eastAsia="宋体" w:cs="Times New Roman"/>
                <w:color w:val="auto"/>
                <w:sz w:val="24"/>
                <w:szCs w:val="24"/>
                <w:vertAlign w:val="baseline"/>
                <w:lang w:val="en-US" w:eastAsia="zh-CN"/>
              </w:rPr>
              <w:t xml:space="preserve">    </w:t>
            </w:r>
          </w:p>
        </w:tc>
        <w:tc>
          <w:tcPr>
            <w:tcW w:w="1755" w:type="dxa"/>
            <w:vAlign w:val="center"/>
          </w:tcPr>
          <w:p>
            <w:pPr>
              <w:bidi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用地（用海）面积（m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w:t>
            </w:r>
          </w:p>
        </w:tc>
        <w:tc>
          <w:tcPr>
            <w:tcW w:w="3203" w:type="dxa"/>
            <w:vAlign w:val="center"/>
          </w:tcPr>
          <w:p>
            <w:pPr>
              <w:bidi w:val="0"/>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tcPr>
          <w:p>
            <w:pPr>
              <w:bidi w:val="0"/>
              <w:rPr>
                <w:rFonts w:hint="eastAsia"/>
                <w:color w:val="auto"/>
                <w:lang w:val="en-US" w:eastAsia="zh-CN"/>
              </w:rPr>
            </w:pPr>
            <w:r>
              <w:rPr>
                <w:rFonts w:hint="eastAsia"/>
                <w:color w:val="auto"/>
                <w:sz w:val="24"/>
                <w:szCs w:val="24"/>
                <w:lang w:val="en-US" w:eastAsia="zh-CN"/>
              </w:rPr>
              <w:t>专项评价设置情况</w:t>
            </w:r>
          </w:p>
        </w:tc>
        <w:tc>
          <w:tcPr>
            <w:tcW w:w="6968"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根据《建设项目环境影响报告表编制技术指南（污染影响类）》（试行），项目专项评价设置情况如下；</w:t>
            </w:r>
          </w:p>
          <w:p>
            <w:pPr>
              <w:bidi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color w:val="auto"/>
                <w:sz w:val="21"/>
                <w:szCs w:val="21"/>
                <w:lang w:val="en-US" w:eastAsia="zh-CN"/>
              </w:rPr>
              <w:t>表1-1  专项评价设置原则表</w:t>
            </w:r>
          </w:p>
          <w:tbl>
            <w:tblPr>
              <w:tblStyle w:val="7"/>
              <w:tblW w:w="6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321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Align w:val="center"/>
                </w:tcPr>
                <w:p>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类别</w:t>
                  </w:r>
                </w:p>
              </w:tc>
              <w:tc>
                <w:tcPr>
                  <w:tcW w:w="3215" w:type="dxa"/>
                  <w:vAlign w:val="center"/>
                </w:tcPr>
                <w:p>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设置原则</w:t>
                  </w:r>
                </w:p>
              </w:tc>
              <w:tc>
                <w:tcPr>
                  <w:tcW w:w="2835" w:type="dxa"/>
                  <w:vAlign w:val="center"/>
                </w:tcPr>
                <w:p>
                  <w:pPr>
                    <w:spacing w:line="240" w:lineRule="auto"/>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大气</w:t>
                  </w:r>
                </w:p>
              </w:tc>
              <w:tc>
                <w:tcPr>
                  <w:tcW w:w="3215"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排放废气含有毒有害污染物、二噁英、苯并[a]芘、氰化物、氯气且厂界外500米范围内有环境空气保护目标的建设项目</w:t>
                  </w:r>
                </w:p>
              </w:tc>
              <w:tc>
                <w:tcPr>
                  <w:tcW w:w="2835"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项目为</w:t>
                  </w:r>
                  <w:r>
                    <w:rPr>
                      <w:rFonts w:hint="eastAsia" w:ascii="Times New Roman" w:hAnsi="Times New Roman" w:eastAsia="宋体" w:cs="Times New Roman"/>
                      <w:color w:val="auto"/>
                      <w:sz w:val="21"/>
                      <w:szCs w:val="21"/>
                      <w:lang w:val="en-US" w:eastAsia="zh-CN"/>
                    </w:rPr>
                    <w:t>酒店</w:t>
                  </w:r>
                  <w:r>
                    <w:rPr>
                      <w:rFonts w:hint="default" w:ascii="Times New Roman" w:hAnsi="Times New Roman" w:eastAsia="宋体" w:cs="Times New Roman"/>
                      <w:color w:val="auto"/>
                      <w:sz w:val="21"/>
                      <w:szCs w:val="21"/>
                      <w:lang w:val="en-US" w:eastAsia="zh-CN"/>
                    </w:rPr>
                    <w:t>布草洗涤，产生的废气主要为锅炉燃烧废气烟尘、二氧化硫、氮氧化物</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不</w:t>
                  </w:r>
                  <w:r>
                    <w:rPr>
                      <w:rFonts w:hint="eastAsia" w:ascii="Times New Roman" w:hAnsi="Times New Roman" w:eastAsia="宋体" w:cs="Times New Roman"/>
                      <w:color w:val="auto"/>
                      <w:sz w:val="21"/>
                      <w:szCs w:val="21"/>
                      <w:lang w:val="en-US" w:eastAsia="zh-CN"/>
                    </w:rPr>
                    <w:t>涉及</w:t>
                  </w:r>
                  <w:r>
                    <w:rPr>
                      <w:rFonts w:hint="default" w:ascii="Times New Roman" w:hAnsi="Times New Roman" w:eastAsia="宋体" w:cs="Times New Roman"/>
                      <w:color w:val="auto"/>
                      <w:sz w:val="21"/>
                      <w:szCs w:val="21"/>
                      <w:lang w:val="en-US" w:eastAsia="zh-CN"/>
                    </w:rPr>
                    <w:t>有毒有害物、二噁英、苯并[a]芘、氰化物、氯气。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地表水</w:t>
                  </w:r>
                </w:p>
              </w:tc>
              <w:tc>
                <w:tcPr>
                  <w:tcW w:w="3215"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新增工业废水直排建设项目（槽罐车外送污水处理厂的除外）；</w:t>
                  </w:r>
                </w:p>
                <w:p>
                  <w:pPr>
                    <w:bidi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新增废水直排的污水集中处理厂</w:t>
                  </w:r>
                </w:p>
              </w:tc>
              <w:tc>
                <w:tcPr>
                  <w:tcW w:w="2835"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项目不涉及上述类别。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环境风险</w:t>
                  </w:r>
                </w:p>
              </w:tc>
              <w:tc>
                <w:tcPr>
                  <w:tcW w:w="3215"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有毒有害和易燃易爆危险物质存储量超过临界量的建设项目</w:t>
                  </w:r>
                </w:p>
              </w:tc>
              <w:tc>
                <w:tcPr>
                  <w:tcW w:w="2835"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项目不涉及上述类别。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生态</w:t>
                  </w:r>
                </w:p>
              </w:tc>
              <w:tc>
                <w:tcPr>
                  <w:tcW w:w="3215"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取水口下游500米范围内有重要水生生物的自然产卵场、索饵场、越冬场和洄游通道的新增河道取水的污染类建设项目</w:t>
                  </w:r>
                </w:p>
              </w:tc>
              <w:tc>
                <w:tcPr>
                  <w:tcW w:w="2835"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项目不涉及上述类别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海洋</w:t>
                  </w:r>
                </w:p>
              </w:tc>
              <w:tc>
                <w:tcPr>
                  <w:tcW w:w="3215"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直接向</w:t>
                  </w:r>
                  <w:r>
                    <w:rPr>
                      <w:rFonts w:hint="eastAsia" w:ascii="Times New Roman" w:hAnsi="Times New Roman" w:eastAsia="宋体" w:cs="Times New Roman"/>
                      <w:color w:val="auto"/>
                      <w:sz w:val="21"/>
                      <w:szCs w:val="21"/>
                      <w:lang w:val="en-US" w:eastAsia="zh-CN"/>
                    </w:rPr>
                    <w:t>海排放污染物的海洋工程建设项目</w:t>
                  </w:r>
                </w:p>
              </w:tc>
              <w:tc>
                <w:tcPr>
                  <w:tcW w:w="2835" w:type="dxa"/>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项目不属于直接向海洋排放污染物的海洋工程建设项目</w:t>
                  </w:r>
                </w:p>
              </w:tc>
            </w:tr>
          </w:tbl>
          <w:p>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注：1、废气中有毒有害污染物指纳入《有毒有害大气污染物名录》的污染物（不包括无排放标准的污染物）。</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360" w:firstLineChars="200"/>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环境空气保护目标指自然保护区、风景名胜区、居住区、文化区和农村地区中人群较集中的区域。</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360" w:firstLineChars="200"/>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临界量及其计算方法可参考《建设项目环境风险评价技术导则》（HJ169）附录B、附录C。</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综上所述，本项目不需要设置环境影响评价专章。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tcPr>
          <w:p>
            <w:pPr>
              <w:bidi w:val="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规划情况</w:t>
            </w:r>
          </w:p>
        </w:tc>
        <w:tc>
          <w:tcPr>
            <w:tcW w:w="6968" w:type="dxa"/>
            <w:gridSpan w:val="3"/>
          </w:tcPr>
          <w:p>
            <w:pPr>
              <w:bidi w:val="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tcPr>
          <w:p>
            <w:pPr>
              <w:bidi w:val="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规划环境影响评价情况</w:t>
            </w:r>
          </w:p>
        </w:tc>
        <w:tc>
          <w:tcPr>
            <w:tcW w:w="6968" w:type="dxa"/>
            <w:gridSpan w:val="3"/>
          </w:tcPr>
          <w:p>
            <w:pPr>
              <w:bidi w:val="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tcPr>
          <w:p>
            <w:pPr>
              <w:bidi w:val="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规划及规划环境影响评价符合性分析</w:t>
            </w:r>
          </w:p>
        </w:tc>
        <w:tc>
          <w:tcPr>
            <w:tcW w:w="6968" w:type="dxa"/>
            <w:gridSpan w:val="3"/>
          </w:tcPr>
          <w:p>
            <w:pPr>
              <w:bidi w:val="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4" w:type="dxa"/>
          </w:tcPr>
          <w:p>
            <w:pPr>
              <w:bidi w:val="0"/>
              <w:rPr>
                <w:rFonts w:hint="eastAsia"/>
                <w:color w:val="auto"/>
                <w:lang w:val="en-US" w:eastAsia="zh-CN"/>
              </w:rPr>
            </w:pPr>
            <w:r>
              <w:rPr>
                <w:rFonts w:hint="eastAsia"/>
                <w:color w:val="auto"/>
                <w:sz w:val="24"/>
                <w:szCs w:val="24"/>
                <w:lang w:val="en-US" w:eastAsia="zh-CN"/>
              </w:rPr>
              <w:t>其他符合性分析</w:t>
            </w:r>
          </w:p>
        </w:tc>
        <w:tc>
          <w:tcPr>
            <w:tcW w:w="6968" w:type="dxa"/>
            <w:gridSpan w:val="3"/>
          </w:tcPr>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default"/>
                <w:color w:val="auto"/>
                <w:sz w:val="24"/>
                <w:szCs w:val="24"/>
                <w:lang w:val="en-US" w:eastAsia="zh-CN"/>
              </w:rPr>
              <w:t>项目“三线一单”符合性分析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default"/>
                <w:color w:val="auto"/>
                <w:sz w:val="24"/>
                <w:szCs w:val="24"/>
                <w:lang w:val="en-US" w:eastAsia="zh-CN"/>
              </w:rPr>
              <w:t>为贯彻落实《中共中央国务院关于全面加强生态环境保护坚决打好污染防治攻坚战的意见》（中发[2018]17号）、《云南省人民政府关于实施“三线一单”生态环境分区管控的意见》（云政发[2020]29号），落实生态保护红线、环境质量底线、资源利用上线和生态环境准入清单，实施生态环境分区管控，推动生态环境质量改善，促进高质量发展，结合大理州实际，制定《大理州“三线一单”生态环境分区管控实施方案》。明确生态保护红线、环境质量底线和资源利用上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default"/>
                <w:color w:val="auto"/>
                <w:sz w:val="24"/>
                <w:szCs w:val="24"/>
                <w:lang w:val="en-US" w:eastAsia="zh-CN"/>
              </w:rPr>
              <w:t>项目“三线一单”符合性分析如下：</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80" w:firstLineChars="200"/>
              <w:textAlignment w:val="auto"/>
              <w:rPr>
                <w:rFonts w:hint="default"/>
                <w:color w:val="auto"/>
                <w:sz w:val="24"/>
                <w:szCs w:val="24"/>
                <w:lang w:val="en-US" w:eastAsia="zh-CN"/>
              </w:rPr>
            </w:pPr>
            <w:r>
              <w:rPr>
                <w:rFonts w:hint="default"/>
                <w:color w:val="auto"/>
                <w:sz w:val="24"/>
                <w:szCs w:val="24"/>
                <w:lang w:val="en-US" w:eastAsia="zh-CN"/>
              </w:rPr>
              <w:t>生态红线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default"/>
                <w:color w:val="auto"/>
                <w:sz w:val="24"/>
                <w:szCs w:val="24"/>
                <w:lang w:val="en-US" w:eastAsia="zh-CN"/>
              </w:rPr>
              <w:t>根据《大理州“三线一单”生态环境分区管控实施方案》具体分析如下：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default"/>
                <w:color w:val="auto"/>
                <w:sz w:val="24"/>
                <w:szCs w:val="24"/>
                <w:lang w:val="en-US" w:eastAsia="zh-CN"/>
              </w:rPr>
              <w:t>生态保护红线和一般生态空间。执行《云南省人民政府关于发布云南省生态保护红线的通知》（云政发[2018]32号），生态保护红线评估调整成果获批后，按照批准成果执行。将未划入生态保护红线的自然保护地、饮用水水源保护区、重要湿地、基本草原、生态公益林、天然林等生态功能重要、生态环境敏感区域划为一般生态空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default"/>
                <w:color w:val="auto"/>
                <w:sz w:val="24"/>
                <w:szCs w:val="24"/>
                <w:lang w:val="en-US" w:eastAsia="zh-CN"/>
              </w:rPr>
              <w:t>项目</w:t>
            </w:r>
            <w:r>
              <w:rPr>
                <w:rFonts w:hint="eastAsia"/>
                <w:color w:val="auto"/>
                <w:sz w:val="24"/>
                <w:szCs w:val="24"/>
                <w:lang w:val="en-US" w:eastAsia="zh-CN"/>
              </w:rPr>
              <w:t>租用洱源县牛街乡太平村6组原红砖厂用地，经向洱源县自然资源局查询，项目地块不占用洱源县生态保护红线，该项目位于洱海三级保护区范围内，未在洱海保护核心区，也不涉及一般生态空间，</w:t>
            </w:r>
            <w:r>
              <w:rPr>
                <w:rFonts w:hint="default"/>
                <w:color w:val="auto"/>
                <w:sz w:val="24"/>
                <w:szCs w:val="24"/>
                <w:lang w:val="en-US" w:eastAsia="zh-CN"/>
              </w:rPr>
              <w:t>符合生态红线保护要求</w:t>
            </w:r>
            <w:r>
              <w:rPr>
                <w:rFonts w:hint="eastAsia"/>
                <w:color w:val="auto"/>
                <w:sz w:val="24"/>
                <w:szCs w:val="24"/>
                <w:lang w:val="en-US" w:eastAsia="zh-CN"/>
              </w:rPr>
              <w:t>，相关证明文件见附件</w:t>
            </w:r>
            <w:r>
              <w:rPr>
                <w:rFonts w:hint="default"/>
                <w:color w:val="auto"/>
                <w:sz w:val="24"/>
                <w:szCs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default"/>
                <w:color w:val="auto"/>
                <w:sz w:val="24"/>
                <w:szCs w:val="24"/>
                <w:lang w:val="en-US" w:eastAsia="zh-CN"/>
              </w:rPr>
            </w:pPr>
            <w:r>
              <w:rPr>
                <w:rFonts w:hint="default"/>
                <w:color w:val="auto"/>
                <w:sz w:val="24"/>
                <w:szCs w:val="24"/>
                <w:lang w:val="en-US" w:eastAsia="zh-CN"/>
              </w:rPr>
              <w:t>环境质量底线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color w:val="auto"/>
                <w:sz w:val="24"/>
                <w:szCs w:val="24"/>
                <w:lang w:val="en-US" w:eastAsia="zh-CN"/>
              </w:rPr>
            </w:pPr>
            <w:r>
              <w:rPr>
                <w:rFonts w:hint="default"/>
                <w:color w:val="auto"/>
                <w:sz w:val="24"/>
                <w:szCs w:val="24"/>
                <w:lang w:val="en-US" w:eastAsia="zh-CN"/>
              </w:rPr>
              <w:t>根据《大理州“三线一单”生态环境分区管控实施方案》具体分析如下：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default" w:asciiTheme="minorHAnsi" w:hAnsiTheme="minorHAnsi" w:eastAsiaTheme="minorEastAsia" w:cstheme="minorBidi"/>
                <w:color w:val="auto"/>
                <w:kern w:val="2"/>
                <w:sz w:val="24"/>
                <w:szCs w:val="24"/>
                <w:lang w:val="en-US" w:eastAsia="zh-CN" w:bidi="ar-SA"/>
              </w:rPr>
              <w:t>1）</w:t>
            </w:r>
            <w:r>
              <w:rPr>
                <w:rFonts w:hint="default"/>
                <w:color w:val="auto"/>
                <w:sz w:val="24"/>
                <w:szCs w:val="24"/>
                <w:lang w:val="en-US" w:eastAsia="zh-CN"/>
              </w:rPr>
              <w:t>水环境质量底线。到2025年，全州水环境质量明显改善，纳入考核的地表水Ⅲ类以上水体比例持续提高，洱海总体保持良好湖泊水质。到2035年，全州地表水体水质优良率全面提升，纳入考核监测断面水质达到水环境功能要求，洱海水质稳定向好；持续提升饮用水安全保障水平，重点区域重点流域水质改善，水生态系统功能逐步恢复，实现生态系统良性循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default" w:asciiTheme="minorHAnsi" w:hAnsiTheme="minorHAnsi" w:eastAsiaTheme="minorEastAsia" w:cstheme="minorBidi"/>
                <w:color w:val="auto"/>
                <w:kern w:val="2"/>
                <w:sz w:val="24"/>
                <w:szCs w:val="24"/>
                <w:lang w:val="en-US" w:eastAsia="zh-CN" w:bidi="ar-SA"/>
              </w:rPr>
              <w:t>2）</w:t>
            </w:r>
            <w:r>
              <w:rPr>
                <w:rFonts w:hint="default"/>
                <w:color w:val="auto"/>
                <w:sz w:val="24"/>
                <w:szCs w:val="24"/>
                <w:lang w:val="en-US" w:eastAsia="zh-CN"/>
              </w:rPr>
              <w:t>大气环境质量底线。到2025年全州城市环境空气质量稳定，完成省下达的大气污染物总量控制指标。到2035年全州城市环境空气质量优中更优，完成省下达的大气污染物总量控制指标。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color w:val="auto"/>
                <w:sz w:val="24"/>
                <w:szCs w:val="24"/>
                <w:lang w:val="en-US" w:eastAsia="zh-CN"/>
              </w:rPr>
            </w:pPr>
            <w:r>
              <w:rPr>
                <w:rFonts w:hint="default" w:asciiTheme="minorHAnsi" w:hAnsiTheme="minorHAnsi" w:eastAsiaTheme="minorEastAsia" w:cstheme="minorBidi"/>
                <w:color w:val="auto"/>
                <w:kern w:val="2"/>
                <w:sz w:val="24"/>
                <w:szCs w:val="24"/>
                <w:lang w:val="en-US" w:eastAsia="zh-CN" w:bidi="ar-SA"/>
              </w:rPr>
              <w:t>3）</w:t>
            </w:r>
            <w:r>
              <w:rPr>
                <w:rFonts w:hint="default"/>
                <w:color w:val="auto"/>
                <w:sz w:val="24"/>
                <w:szCs w:val="24"/>
                <w:lang w:val="en-US" w:eastAsia="zh-CN"/>
              </w:rPr>
              <w:t>土壤环境环境风险防控底线。到2025年，土壤环境风险防范体系进一步完善，受污染耕地安全利用率和污染地块安全利用率进一步提高。到2035年，土壤环境质量稳中向好，农用地和建设用地土壤环境安全得到有效保障，土壤环境风险得到全面管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default"/>
                <w:color w:val="auto"/>
                <w:sz w:val="24"/>
                <w:szCs w:val="24"/>
                <w:lang w:val="en-US" w:eastAsia="zh-CN"/>
              </w:rPr>
              <w:t>项目所在区域最近水体为</w:t>
            </w:r>
            <w:r>
              <w:rPr>
                <w:rFonts w:hint="eastAsia"/>
                <w:color w:val="auto"/>
                <w:sz w:val="24"/>
                <w:szCs w:val="24"/>
                <w:lang w:val="en-US" w:eastAsia="zh-CN"/>
              </w:rPr>
              <w:t>西</w:t>
            </w:r>
            <w:r>
              <w:rPr>
                <w:rFonts w:hint="default"/>
                <w:color w:val="auto"/>
                <w:sz w:val="24"/>
                <w:szCs w:val="24"/>
                <w:lang w:val="en-US" w:eastAsia="zh-CN"/>
              </w:rPr>
              <w:t>侧</w:t>
            </w:r>
            <w:r>
              <w:rPr>
                <w:rFonts w:hint="eastAsia"/>
                <w:color w:val="auto"/>
                <w:sz w:val="24"/>
                <w:szCs w:val="24"/>
                <w:lang w:val="en-US" w:eastAsia="zh-CN"/>
              </w:rPr>
              <w:t>2600</w:t>
            </w:r>
            <w:r>
              <w:rPr>
                <w:rFonts w:hint="default"/>
                <w:color w:val="auto"/>
                <w:sz w:val="24"/>
                <w:szCs w:val="24"/>
                <w:lang w:val="en-US" w:eastAsia="zh-CN"/>
              </w:rPr>
              <w:t>m处的</w:t>
            </w:r>
            <w:r>
              <w:rPr>
                <w:rFonts w:hint="eastAsia"/>
                <w:color w:val="auto"/>
                <w:sz w:val="24"/>
                <w:szCs w:val="24"/>
                <w:lang w:val="en-US" w:eastAsia="zh-CN"/>
              </w:rPr>
              <w:t>海西海水库。</w:t>
            </w:r>
            <w:r>
              <w:rPr>
                <w:rFonts w:hint="default"/>
                <w:color w:val="auto"/>
                <w:sz w:val="24"/>
                <w:szCs w:val="24"/>
                <w:lang w:val="en-US" w:eastAsia="zh-CN"/>
              </w:rPr>
              <w:t>根据云南省水利厅《云南省水功能区划（201</w:t>
            </w:r>
            <w:r>
              <w:rPr>
                <w:rFonts w:hint="eastAsia"/>
                <w:color w:val="auto"/>
                <w:sz w:val="24"/>
                <w:szCs w:val="24"/>
                <w:lang w:val="en-US" w:eastAsia="zh-CN"/>
              </w:rPr>
              <w:t>4</w:t>
            </w:r>
            <w:r>
              <w:rPr>
                <w:rFonts w:hint="default"/>
                <w:color w:val="auto"/>
                <w:sz w:val="24"/>
                <w:szCs w:val="24"/>
                <w:lang w:val="en-US" w:eastAsia="zh-CN"/>
              </w:rPr>
              <w:t>年修订）》</w:t>
            </w:r>
            <w:r>
              <w:rPr>
                <w:rFonts w:hint="eastAsia"/>
                <w:color w:val="auto"/>
                <w:sz w:val="24"/>
                <w:szCs w:val="24"/>
                <w:lang w:val="en-US" w:eastAsia="zh-CN"/>
              </w:rPr>
              <w:t>，海西海水库洱源农业、渔业、饮用用水区：海西海水库位于牛街乡西北，距县城24km，总库容6185万m³，年农业供水量2617万m³，灌溉面积75000亩，现状水质</w:t>
            </w:r>
            <w:r>
              <w:rPr>
                <w:rFonts w:hint="eastAsia" w:ascii="宋体" w:hAnsi="宋体" w:eastAsia="宋体" w:cs="宋体"/>
                <w:color w:val="auto"/>
                <w:sz w:val="24"/>
                <w:szCs w:val="24"/>
                <w:lang w:val="en-US" w:eastAsia="zh-CN"/>
              </w:rPr>
              <w:t>Ⅱ</w:t>
            </w:r>
            <w:r>
              <w:rPr>
                <w:rFonts w:hint="eastAsia"/>
                <w:color w:val="auto"/>
                <w:sz w:val="24"/>
                <w:szCs w:val="24"/>
                <w:lang w:val="en-US" w:eastAsia="zh-CN"/>
              </w:rPr>
              <w:t>类，规划水平年水质目标</w:t>
            </w:r>
            <w:r>
              <w:rPr>
                <w:rFonts w:hint="eastAsia" w:ascii="宋体" w:hAnsi="宋体" w:eastAsia="宋体" w:cs="宋体"/>
                <w:color w:val="auto"/>
                <w:sz w:val="24"/>
                <w:szCs w:val="24"/>
                <w:lang w:val="en-US" w:eastAsia="zh-CN"/>
              </w:rPr>
              <w:t>Ⅱ</w:t>
            </w:r>
            <w:r>
              <w:rPr>
                <w:rFonts w:hint="eastAsia"/>
                <w:color w:val="auto"/>
                <w:sz w:val="24"/>
                <w:szCs w:val="24"/>
                <w:lang w:val="en-US" w:eastAsia="zh-CN"/>
              </w:rPr>
              <w:t>类。故项目区域地表水环境质量标准执行《地表水环境质量标准》（GB3838-2002）</w:t>
            </w:r>
            <w:r>
              <w:rPr>
                <w:rFonts w:hint="eastAsia" w:ascii="宋体" w:hAnsi="宋体" w:eastAsia="宋体" w:cs="宋体"/>
                <w:color w:val="auto"/>
                <w:sz w:val="24"/>
                <w:szCs w:val="24"/>
                <w:lang w:val="en-US" w:eastAsia="zh-CN"/>
              </w:rPr>
              <w:t>Ⅱ</w:t>
            </w:r>
            <w:r>
              <w:rPr>
                <w:rFonts w:hint="eastAsia"/>
                <w:color w:val="auto"/>
                <w:sz w:val="24"/>
                <w:szCs w:val="24"/>
                <w:lang w:val="en-US" w:eastAsia="zh-CN"/>
              </w:rPr>
              <w:t>类水质标准。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w:t>
            </w:r>
            <w:r>
              <w:rPr>
                <w:rFonts w:hint="eastAsia" w:ascii="Times New Roman" w:hAnsi="Times New Roman" w:eastAsia="宋体" w:cs="Times New Roman"/>
                <w:color w:val="auto"/>
                <w:sz w:val="24"/>
                <w:szCs w:val="24"/>
                <w:lang w:val="en-US" w:eastAsia="zh-CN"/>
              </w:rPr>
              <w:t>大理白族自治州2023年环境状况公报</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2024年06月05日），2023年大理州各级生态环境监测站分别对州内澜沧江、长江、红河等三大水系的8个湖泊、27条河流进行了水环境质量监测，共设65个测点，其中湖库设26个测点，河流设39个测点。监测结果评价执行国家《地表水环境质量标准》（GB3838-2002），评价方法为《地表水环境质量评价办法（试行）》（环办2011[22]号），评价指标为《地表水环境质量标准》（GB3838-2002）中表1除水温、总氮、粪大肠菌群以外的21项指标，洱海流域内的测点有34个，海西海水质类别符合</w:t>
            </w:r>
            <w:r>
              <w:rPr>
                <w:rFonts w:hint="eastAsia" w:ascii="宋体" w:hAnsi="宋体" w:eastAsia="宋体" w:cs="宋体"/>
                <w:color w:val="auto"/>
                <w:sz w:val="24"/>
                <w:szCs w:val="24"/>
                <w:lang w:val="en-US" w:eastAsia="zh-CN"/>
              </w:rPr>
              <w:t>Ⅱ</w:t>
            </w:r>
            <w:r>
              <w:rPr>
                <w:rFonts w:hint="eastAsia" w:ascii="Times New Roman" w:hAnsi="Times New Roman" w:eastAsia="宋体" w:cs="Times New Roman"/>
                <w:color w:val="auto"/>
                <w:sz w:val="24"/>
                <w:szCs w:val="24"/>
                <w:lang w:val="en-US" w:eastAsia="zh-CN"/>
              </w:rPr>
              <w:t>类标准</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2023年全州环境空气质量总体保持良好，其中洱源县达到环境空气质量达到《环境空气质量标准》（GB3095-2012）一级标准，其余11个县（市）均达到二级标准</w:t>
            </w:r>
            <w:r>
              <w:rPr>
                <w:rFonts w:hint="default" w:ascii="Times New Roman" w:hAnsi="Times New Roman" w:eastAsia="宋体" w:cs="Times New Roman"/>
                <w:color w:val="auto"/>
                <w:sz w:val="24"/>
                <w:szCs w:val="24"/>
                <w:lang w:val="en-US" w:eastAsia="zh-CN"/>
              </w:rPr>
              <w:t>。项目区目前环境空气质量达标，项目运营期产生的废气主要为颗粒物、二氧化硫、氮氧化物，燃烧废气经</w:t>
            </w:r>
            <w:r>
              <w:rPr>
                <w:rFonts w:hint="eastAsia" w:ascii="Times New Roman" w:hAnsi="Times New Roman" w:eastAsia="宋体" w:cs="Times New Roman"/>
                <w:color w:val="auto"/>
                <w:sz w:val="24"/>
                <w:szCs w:val="24"/>
                <w:lang w:val="en-US" w:eastAsia="zh-CN"/>
              </w:rPr>
              <w:t>水膜除尘器</w:t>
            </w:r>
            <w:r>
              <w:rPr>
                <w:rFonts w:hint="default" w:ascii="Times New Roman" w:hAnsi="Times New Roman" w:eastAsia="宋体" w:cs="Times New Roman"/>
                <w:color w:val="auto"/>
                <w:sz w:val="24"/>
                <w:szCs w:val="24"/>
                <w:lang w:val="en-US" w:eastAsia="zh-CN"/>
              </w:rPr>
              <w:t>处理后排入大气环境中，可做到达标排放，不会改变评价区环境空气功能。生活垃圾做到日产日清，交由当地环卫部门清运处理；项目运营期对周边大气环境影响较小；噪声能达标排放，且对周围噪声敏感目标影响较小；项目产生的生活污水</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洗涤废水经</w:t>
            </w:r>
            <w:r>
              <w:rPr>
                <w:rFonts w:hint="eastAsia" w:ascii="Times New Roman" w:hAnsi="Times New Roman" w:eastAsia="宋体" w:cs="Times New Roman"/>
                <w:color w:val="auto"/>
                <w:sz w:val="24"/>
                <w:szCs w:val="24"/>
                <w:lang w:val="en-US" w:eastAsia="zh-CN"/>
              </w:rPr>
              <w:t>化粪池</w:t>
            </w:r>
            <w:r>
              <w:rPr>
                <w:rFonts w:hint="default" w:ascii="Times New Roman" w:hAnsi="Times New Roman" w:eastAsia="宋体" w:cs="Times New Roman"/>
                <w:color w:val="auto"/>
                <w:sz w:val="24"/>
                <w:szCs w:val="24"/>
                <w:lang w:val="en-US" w:eastAsia="zh-CN"/>
              </w:rPr>
              <w:t>处理后，</w:t>
            </w:r>
            <w:r>
              <w:rPr>
                <w:rFonts w:hint="eastAsia" w:ascii="Times New Roman" w:hAnsi="Times New Roman" w:eastAsia="宋体" w:cs="Times New Roman"/>
                <w:color w:val="auto"/>
                <w:sz w:val="24"/>
                <w:szCs w:val="24"/>
                <w:lang w:val="en-US" w:eastAsia="zh-CN"/>
              </w:rPr>
              <w:t>排入市政污水管网，最终进入牛街乡污水处理厂进行处理</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default"/>
                <w:color w:val="auto"/>
                <w:sz w:val="24"/>
                <w:szCs w:val="24"/>
                <w:lang w:val="en-US" w:eastAsia="zh-CN"/>
              </w:rPr>
              <w:t>项目的建设不会增加区域环境压力，符合区域环境质量控制的要求</w:t>
            </w:r>
            <w:r>
              <w:rPr>
                <w:rFonts w:hint="eastAsia"/>
                <w:color w:val="auto"/>
                <w:sz w:val="24"/>
                <w:szCs w:val="24"/>
                <w:lang w:val="en-US" w:eastAsia="zh-CN"/>
              </w:rPr>
              <w:t>，</w:t>
            </w:r>
            <w:r>
              <w:rPr>
                <w:rFonts w:hint="default"/>
                <w:color w:val="auto"/>
                <w:sz w:val="24"/>
                <w:szCs w:val="24"/>
                <w:lang w:val="en-US" w:eastAsia="zh-CN"/>
              </w:rPr>
              <w:t>故项目的实施不会影响环境质量底线。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default"/>
                <w:color w:val="auto"/>
                <w:sz w:val="24"/>
                <w:szCs w:val="24"/>
                <w:lang w:val="en-US" w:eastAsia="zh-CN"/>
              </w:rPr>
              <w:t>（3）资源利用上线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default"/>
                <w:color w:val="auto"/>
                <w:sz w:val="24"/>
                <w:szCs w:val="24"/>
                <w:lang w:val="en-US" w:eastAsia="zh-CN"/>
              </w:rPr>
              <w:t>根据《大理州“三线一单”生态环境分区管控实施方案》具体分析如下：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default"/>
                <w:color w:val="auto"/>
                <w:sz w:val="24"/>
                <w:szCs w:val="24"/>
                <w:lang w:val="en-US" w:eastAsia="zh-CN"/>
              </w:rPr>
              <w:t>资源利用上线。强化资源能源节约集约利用，持续提升资源能源利用效率，水资源、土地资源、能源消耗等达到或优于云南省下达的总量和强度控制目标。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default"/>
                <w:color w:val="auto"/>
                <w:sz w:val="24"/>
                <w:szCs w:val="24"/>
                <w:lang w:val="en-US" w:eastAsia="zh-CN"/>
              </w:rPr>
              <w:t>项目为</w:t>
            </w:r>
            <w:r>
              <w:rPr>
                <w:rFonts w:hint="eastAsia"/>
                <w:color w:val="auto"/>
                <w:sz w:val="24"/>
                <w:szCs w:val="24"/>
                <w:lang w:val="en-US" w:eastAsia="zh-CN"/>
              </w:rPr>
              <w:t>酒店</w:t>
            </w:r>
            <w:r>
              <w:rPr>
                <w:rFonts w:hint="default"/>
                <w:color w:val="auto"/>
                <w:sz w:val="24"/>
                <w:szCs w:val="24"/>
                <w:lang w:val="en-US" w:eastAsia="zh-CN"/>
              </w:rPr>
              <w:t>布草洗涤，在运营过程中消耗一定量的</w:t>
            </w:r>
            <w:r>
              <w:rPr>
                <w:rFonts w:hint="eastAsia"/>
                <w:color w:val="auto"/>
                <w:sz w:val="24"/>
                <w:szCs w:val="24"/>
                <w:lang w:val="en-US" w:eastAsia="zh-CN"/>
              </w:rPr>
              <w:t>水、电</w:t>
            </w:r>
            <w:r>
              <w:rPr>
                <w:rFonts w:hint="default"/>
                <w:color w:val="auto"/>
                <w:sz w:val="24"/>
                <w:szCs w:val="24"/>
                <w:lang w:val="en-US" w:eastAsia="zh-CN"/>
              </w:rPr>
              <w:t>等资源，主要为生产、生活及设备用</w:t>
            </w:r>
            <w:r>
              <w:rPr>
                <w:rFonts w:hint="eastAsia"/>
                <w:color w:val="auto"/>
                <w:sz w:val="24"/>
                <w:szCs w:val="24"/>
                <w:lang w:val="en-US" w:eastAsia="zh-CN"/>
              </w:rPr>
              <w:t>水、</w:t>
            </w:r>
            <w:r>
              <w:rPr>
                <w:rFonts w:hint="default"/>
                <w:color w:val="auto"/>
                <w:sz w:val="24"/>
                <w:szCs w:val="24"/>
                <w:lang w:val="en-US" w:eastAsia="zh-CN"/>
              </w:rPr>
              <w:t>电。</w:t>
            </w:r>
            <w:r>
              <w:rPr>
                <w:rFonts w:hint="eastAsia"/>
                <w:color w:val="auto"/>
                <w:sz w:val="24"/>
                <w:szCs w:val="24"/>
                <w:lang w:val="en-US" w:eastAsia="zh-CN"/>
              </w:rPr>
              <w:t>项目用水量为39058.8m³/a，</w:t>
            </w:r>
            <w:r>
              <w:rPr>
                <w:rFonts w:hint="default"/>
                <w:color w:val="auto"/>
                <w:sz w:val="24"/>
                <w:szCs w:val="24"/>
                <w:lang w:val="en-US" w:eastAsia="zh-CN"/>
              </w:rPr>
              <w:t>项目资源消耗量相对区域资源利用总量较少，符合资源利用上线要求。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default"/>
                <w:color w:val="auto"/>
                <w:sz w:val="24"/>
                <w:szCs w:val="24"/>
                <w:lang w:val="en-US" w:eastAsia="zh-CN"/>
              </w:rPr>
              <w:t>（4）环境准入负面清单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default"/>
                <w:color w:val="auto"/>
                <w:sz w:val="24"/>
                <w:szCs w:val="24"/>
                <w:lang w:val="en-US" w:eastAsia="zh-CN"/>
              </w:rPr>
              <w:t>根据《大理州“三线一单”生态环境分区管控实施方案》（大政发[2021]29号），全州共划定综合管控单元105个，其中优先保护单元34个，重点管控单元59个，一般管控单元12个。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color w:val="auto"/>
                <w:sz w:val="24"/>
                <w:szCs w:val="24"/>
                <w:lang w:val="en-US" w:eastAsia="zh-CN"/>
              </w:rPr>
            </w:pPr>
            <w:r>
              <w:rPr>
                <w:rFonts w:hint="default"/>
                <w:color w:val="auto"/>
                <w:sz w:val="24"/>
                <w:szCs w:val="24"/>
                <w:lang w:val="en-US" w:eastAsia="zh-CN"/>
              </w:rPr>
              <w:t>优先保护单元：共34个，包含生态保护红线、一般生态空间。主要分布在洱海流域湖区、苍山、无量山、雪邦山、马耳山、剑湖、天池等生态功能重要和生态环境敏感区域；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default"/>
                <w:color w:val="auto"/>
                <w:sz w:val="24"/>
                <w:szCs w:val="24"/>
                <w:lang w:val="en-US" w:eastAsia="zh-CN"/>
              </w:rPr>
              <w:t>重点管控单元：共59个，包含开发强度高、污染物排放强度大、环境问题相对集中的区域和大气环境布局敏感区等，主要分布在洱海流域坝区、各类开发区和工业集中区、城镇规划区及环境质量改善压力较大的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lang w:val="en-US" w:eastAsia="zh-CN"/>
              </w:rPr>
            </w:pPr>
            <w:r>
              <w:rPr>
                <w:rFonts w:hint="default"/>
                <w:color w:val="auto"/>
                <w:sz w:val="24"/>
                <w:szCs w:val="24"/>
                <w:lang w:val="en-US" w:eastAsia="zh-CN"/>
              </w:rPr>
              <w:t>一般管控单元：共12个，为优先保护、重点管控单元之外的区域。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color w:val="auto"/>
                <w:sz w:val="18"/>
                <w:szCs w:val="18"/>
                <w:lang w:val="en-US" w:eastAsia="zh-CN"/>
              </w:rPr>
            </w:pPr>
            <w:r>
              <w:rPr>
                <w:rFonts w:hint="eastAsia"/>
                <w:b/>
                <w:bCs/>
                <w:color w:val="auto"/>
                <w:sz w:val="18"/>
                <w:szCs w:val="18"/>
                <w:lang w:val="en-US" w:eastAsia="zh-CN"/>
              </w:rPr>
              <w:t>表1-2  与《大理州“三线一单”生态环境分区管控实施方案》符合性分析</w:t>
            </w:r>
          </w:p>
          <w:tbl>
            <w:tblPr>
              <w:tblStyle w:val="7"/>
              <w:tblW w:w="6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62"/>
              <w:gridCol w:w="3022"/>
              <w:gridCol w:w="1862"/>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Align w:val="center"/>
                </w:tcPr>
                <w:p>
                  <w:pPr>
                    <w:bidi w:val="0"/>
                    <w:spacing w:line="240" w:lineRule="auto"/>
                    <w:jc w:val="center"/>
                    <w:rPr>
                      <w:rFonts w:hint="default"/>
                      <w:b/>
                      <w:bCs/>
                      <w:color w:val="auto"/>
                      <w:lang w:val="en-US" w:eastAsia="zh-CN"/>
                    </w:rPr>
                  </w:pPr>
                  <w:r>
                    <w:rPr>
                      <w:rFonts w:hint="default"/>
                      <w:b/>
                      <w:bCs/>
                      <w:color w:val="auto"/>
                      <w:lang w:val="en-US" w:eastAsia="zh-CN"/>
                    </w:rPr>
                    <w:t>管控单元</w:t>
                  </w:r>
                </w:p>
              </w:tc>
              <w:tc>
                <w:tcPr>
                  <w:tcW w:w="3484" w:type="dxa"/>
                  <w:gridSpan w:val="2"/>
                  <w:vAlign w:val="center"/>
                </w:tcPr>
                <w:p>
                  <w:pPr>
                    <w:bidi w:val="0"/>
                    <w:spacing w:line="240" w:lineRule="auto"/>
                    <w:jc w:val="center"/>
                    <w:rPr>
                      <w:rFonts w:hint="default"/>
                      <w:b/>
                      <w:bCs/>
                      <w:color w:val="auto"/>
                      <w:lang w:val="en-US" w:eastAsia="zh-CN"/>
                    </w:rPr>
                  </w:pPr>
                  <w:r>
                    <w:rPr>
                      <w:rFonts w:hint="default"/>
                      <w:b/>
                      <w:bCs/>
                      <w:color w:val="auto"/>
                      <w:lang w:val="en-US" w:eastAsia="zh-CN"/>
                    </w:rPr>
                    <w:t>管控要求</w:t>
                  </w:r>
                </w:p>
              </w:tc>
              <w:tc>
                <w:tcPr>
                  <w:tcW w:w="1862" w:type="dxa"/>
                  <w:vAlign w:val="center"/>
                </w:tcPr>
                <w:p>
                  <w:pPr>
                    <w:bidi w:val="0"/>
                    <w:spacing w:line="240" w:lineRule="auto"/>
                    <w:jc w:val="center"/>
                    <w:rPr>
                      <w:rFonts w:hint="default"/>
                      <w:b/>
                      <w:bCs/>
                      <w:color w:val="auto"/>
                      <w:lang w:val="en-US" w:eastAsia="zh-CN"/>
                    </w:rPr>
                  </w:pPr>
                  <w:r>
                    <w:rPr>
                      <w:rFonts w:hint="default"/>
                      <w:b/>
                      <w:bCs/>
                      <w:color w:val="auto"/>
                      <w:lang w:val="en-US" w:eastAsia="zh-CN"/>
                    </w:rPr>
                    <w:t>本项目内容</w:t>
                  </w:r>
                </w:p>
              </w:tc>
              <w:tc>
                <w:tcPr>
                  <w:tcW w:w="748" w:type="dxa"/>
                  <w:vAlign w:val="center"/>
                </w:tcPr>
                <w:p>
                  <w:pPr>
                    <w:bidi w:val="0"/>
                    <w:spacing w:line="240" w:lineRule="auto"/>
                    <w:jc w:val="center"/>
                    <w:rPr>
                      <w:rFonts w:hint="default"/>
                      <w:b/>
                      <w:bCs/>
                      <w:color w:val="auto"/>
                      <w:lang w:val="en-US" w:eastAsia="zh-CN"/>
                    </w:rPr>
                  </w:pPr>
                  <w:r>
                    <w:rPr>
                      <w:rFonts w:hint="default"/>
                      <w:b/>
                      <w:bCs/>
                      <w:color w:val="auto"/>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restart"/>
                  <w:vAlign w:val="center"/>
                </w:tcPr>
                <w:p>
                  <w:pPr>
                    <w:bidi w:val="0"/>
                    <w:spacing w:line="240" w:lineRule="auto"/>
                    <w:jc w:val="center"/>
                    <w:rPr>
                      <w:rFonts w:hint="default"/>
                      <w:color w:val="auto"/>
                      <w:lang w:val="en-US" w:eastAsia="zh-CN"/>
                    </w:rPr>
                  </w:pPr>
                  <w:r>
                    <w:rPr>
                      <w:rFonts w:hint="default"/>
                      <w:color w:val="auto"/>
                      <w:lang w:val="en-US" w:eastAsia="zh-CN"/>
                    </w:rPr>
                    <w:t>大理州生态环境管控总体要求</w:t>
                  </w:r>
                </w:p>
              </w:tc>
              <w:tc>
                <w:tcPr>
                  <w:tcW w:w="462" w:type="dxa"/>
                  <w:vMerge w:val="restart"/>
                  <w:vAlign w:val="center"/>
                </w:tcPr>
                <w:p>
                  <w:pPr>
                    <w:bidi w:val="0"/>
                    <w:spacing w:line="240" w:lineRule="auto"/>
                    <w:jc w:val="center"/>
                    <w:rPr>
                      <w:rFonts w:hint="default"/>
                      <w:color w:val="auto"/>
                      <w:lang w:val="en-US" w:eastAsia="zh-CN"/>
                    </w:rPr>
                  </w:pPr>
                  <w:r>
                    <w:rPr>
                      <w:rFonts w:hint="default"/>
                      <w:color w:val="auto"/>
                      <w:lang w:val="en-US" w:eastAsia="zh-CN"/>
                    </w:rPr>
                    <w:t>空间布局约束</w:t>
                  </w:r>
                </w:p>
              </w:tc>
              <w:tc>
                <w:tcPr>
                  <w:tcW w:w="3022" w:type="dxa"/>
                  <w:vAlign w:val="center"/>
                </w:tcPr>
                <w:p>
                  <w:pPr>
                    <w:numPr>
                      <w:ilvl w:val="0"/>
                      <w:numId w:val="4"/>
                    </w:numPr>
                    <w:bidi w:val="0"/>
                    <w:spacing w:line="240" w:lineRule="auto"/>
                    <w:jc w:val="center"/>
                    <w:rPr>
                      <w:rFonts w:hint="default"/>
                      <w:color w:val="auto"/>
                      <w:lang w:val="en-US" w:eastAsia="zh-CN"/>
                    </w:rPr>
                  </w:pPr>
                  <w:r>
                    <w:rPr>
                      <w:rFonts w:hint="default"/>
                      <w:color w:val="auto"/>
                      <w:lang w:val="en-US" w:eastAsia="zh-CN"/>
                    </w:rPr>
                    <w:t>生态保护红线内，自然保护地核心保护区原则上禁止人为活动，其他区域严格禁止开发性、生产性建设活动，法律法规另有规定的，从其规定。</w:t>
                  </w:r>
                </w:p>
              </w:tc>
              <w:tc>
                <w:tcPr>
                  <w:tcW w:w="1862" w:type="dxa"/>
                  <w:vAlign w:val="center"/>
                </w:tcPr>
                <w:p>
                  <w:pPr>
                    <w:bidi w:val="0"/>
                    <w:spacing w:line="240" w:lineRule="auto"/>
                    <w:jc w:val="center"/>
                    <w:rPr>
                      <w:rFonts w:hint="default"/>
                      <w:color w:val="auto"/>
                      <w:lang w:val="en-US" w:eastAsia="zh-CN"/>
                    </w:rPr>
                  </w:pPr>
                  <w:r>
                    <w:rPr>
                      <w:rFonts w:hint="default"/>
                      <w:color w:val="auto"/>
                      <w:lang w:val="en-US" w:eastAsia="zh-CN"/>
                    </w:rPr>
                    <w:t>项目位于</w:t>
                  </w:r>
                  <w:r>
                    <w:rPr>
                      <w:rFonts w:hint="eastAsia"/>
                      <w:color w:val="auto"/>
                      <w:lang w:val="en-US" w:eastAsia="zh-CN"/>
                    </w:rPr>
                    <w:t>洱源县牛街乡太平村</w:t>
                  </w:r>
                  <w:r>
                    <w:rPr>
                      <w:rFonts w:hint="default"/>
                      <w:color w:val="auto"/>
                      <w:lang w:val="en-US" w:eastAsia="zh-CN"/>
                    </w:rPr>
                    <w:t>，</w:t>
                  </w:r>
                  <w:r>
                    <w:rPr>
                      <w:rFonts w:hint="eastAsia"/>
                      <w:color w:val="auto"/>
                      <w:lang w:val="en-US" w:eastAsia="zh-CN"/>
                    </w:rPr>
                    <w:t>位于洱海三级保护区范围内，但</w:t>
                  </w:r>
                  <w:r>
                    <w:rPr>
                      <w:rFonts w:hint="default"/>
                      <w:color w:val="auto"/>
                      <w:lang w:val="en-US" w:eastAsia="zh-CN"/>
                    </w:rPr>
                    <w:t>不涉及生态保护红线</w:t>
                  </w:r>
                </w:p>
              </w:tc>
              <w:tc>
                <w:tcPr>
                  <w:tcW w:w="748" w:type="dxa"/>
                  <w:vAlign w:val="center"/>
                </w:tcPr>
                <w:p>
                  <w:pPr>
                    <w:bidi w:val="0"/>
                    <w:spacing w:line="240" w:lineRule="auto"/>
                    <w:jc w:val="center"/>
                    <w:rPr>
                      <w:rFonts w:hint="default"/>
                      <w:color w:val="auto"/>
                      <w:lang w:val="en-US" w:eastAsia="zh-CN"/>
                    </w:rPr>
                  </w:pPr>
                  <w:r>
                    <w:rPr>
                      <w:rFonts w:hint="default"/>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color w:val="auto"/>
                      <w:lang w:val="en-US" w:eastAsia="zh-CN"/>
                    </w:rPr>
                  </w:pPr>
                </w:p>
              </w:tc>
              <w:tc>
                <w:tcPr>
                  <w:tcW w:w="462" w:type="dxa"/>
                  <w:vMerge w:val="continue"/>
                  <w:vAlign w:val="center"/>
                </w:tcPr>
                <w:p>
                  <w:pPr>
                    <w:bidi w:val="0"/>
                    <w:spacing w:line="240" w:lineRule="auto"/>
                    <w:jc w:val="center"/>
                    <w:rPr>
                      <w:rFonts w:hint="default"/>
                      <w:color w:val="auto"/>
                      <w:lang w:val="en-US" w:eastAsia="zh-CN"/>
                    </w:rPr>
                  </w:pPr>
                </w:p>
              </w:tc>
              <w:tc>
                <w:tcPr>
                  <w:tcW w:w="3022" w:type="dxa"/>
                  <w:vAlign w:val="center"/>
                </w:tcPr>
                <w:p>
                  <w:pPr>
                    <w:bidi w:val="0"/>
                    <w:spacing w:line="240" w:lineRule="auto"/>
                    <w:jc w:val="both"/>
                    <w:rPr>
                      <w:rFonts w:hint="default"/>
                      <w:color w:val="auto"/>
                      <w:lang w:val="en-US" w:eastAsia="zh-CN"/>
                    </w:rPr>
                  </w:pPr>
                  <w:r>
                    <w:rPr>
                      <w:rFonts w:hint="eastAsia"/>
                      <w:color w:val="auto"/>
                      <w:lang w:val="en-US" w:eastAsia="zh-CN"/>
                    </w:rPr>
                    <w:t>2.</w:t>
                  </w:r>
                  <w:r>
                    <w:rPr>
                      <w:rFonts w:hint="default"/>
                      <w:color w:val="auto"/>
                      <w:lang w:val="en-US" w:eastAsia="zh-CN"/>
                    </w:rPr>
                    <w:t>生态保护红线相关管控办法出台后，依据其管理规定执行。</w:t>
                  </w:r>
                </w:p>
              </w:tc>
              <w:tc>
                <w:tcPr>
                  <w:tcW w:w="1862" w:type="dxa"/>
                  <w:vAlign w:val="center"/>
                </w:tcPr>
                <w:p>
                  <w:pPr>
                    <w:bidi w:val="0"/>
                    <w:spacing w:line="240" w:lineRule="auto"/>
                    <w:jc w:val="center"/>
                    <w:rPr>
                      <w:rFonts w:hint="default"/>
                      <w:color w:val="auto"/>
                      <w:lang w:val="en-US" w:eastAsia="zh-CN"/>
                    </w:rPr>
                  </w:pPr>
                  <w:r>
                    <w:rPr>
                      <w:rFonts w:hint="eastAsia"/>
                      <w:color w:val="auto"/>
                      <w:lang w:val="en-US" w:eastAsia="zh-CN"/>
                    </w:rPr>
                    <w:t>项目不涉及生态保护红线</w:t>
                  </w:r>
                </w:p>
              </w:tc>
              <w:tc>
                <w:tcPr>
                  <w:tcW w:w="748" w:type="dxa"/>
                  <w:vAlign w:val="center"/>
                </w:tcPr>
                <w:p>
                  <w:pPr>
                    <w:bidi w:val="0"/>
                    <w:spacing w:line="240" w:lineRule="auto"/>
                    <w:jc w:val="cente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color w:val="auto"/>
                      <w:lang w:val="en-US" w:eastAsia="zh-CN"/>
                    </w:rPr>
                  </w:pPr>
                </w:p>
              </w:tc>
              <w:tc>
                <w:tcPr>
                  <w:tcW w:w="462" w:type="dxa"/>
                  <w:vMerge w:val="continue"/>
                  <w:vAlign w:val="center"/>
                </w:tcPr>
                <w:p>
                  <w:pPr>
                    <w:bidi w:val="0"/>
                    <w:spacing w:line="240" w:lineRule="auto"/>
                    <w:jc w:val="center"/>
                    <w:rPr>
                      <w:rFonts w:hint="default"/>
                      <w:color w:val="auto"/>
                      <w:lang w:val="en-US" w:eastAsia="zh-CN"/>
                    </w:rPr>
                  </w:pPr>
                </w:p>
              </w:tc>
              <w:tc>
                <w:tcPr>
                  <w:tcW w:w="3022" w:type="dxa"/>
                  <w:vAlign w:val="center"/>
                </w:tcPr>
                <w:p>
                  <w:pPr>
                    <w:numPr>
                      <w:ilvl w:val="0"/>
                      <w:numId w:val="0"/>
                    </w:numPr>
                    <w:bidi w:val="0"/>
                    <w:spacing w:line="240" w:lineRule="auto"/>
                    <w:ind w:leftChars="0"/>
                    <w:jc w:val="both"/>
                    <w:rPr>
                      <w:rFonts w:hint="eastAsia"/>
                      <w:color w:val="auto"/>
                      <w:lang w:val="en-US" w:eastAsia="zh-CN"/>
                    </w:rPr>
                  </w:pPr>
                  <w:r>
                    <w:rPr>
                      <w:rFonts w:hint="eastAsia"/>
                      <w:color w:val="auto"/>
                      <w:lang w:val="en-US" w:eastAsia="zh-CN"/>
                    </w:rPr>
                    <w:t>3.</w:t>
                  </w:r>
                  <w:r>
                    <w:rPr>
                      <w:rFonts w:hint="default"/>
                      <w:color w:val="auto"/>
                      <w:lang w:val="en-US" w:eastAsia="zh-CN"/>
                    </w:rPr>
                    <w:t>新建旅游景区禁止破坏生态环境，限制在生态脆弱地区布局。根据景区承载能力进行功能分区管理，确定游客容量上限。</w:t>
                  </w:r>
                </w:p>
              </w:tc>
              <w:tc>
                <w:tcPr>
                  <w:tcW w:w="1862" w:type="dxa"/>
                  <w:vAlign w:val="center"/>
                </w:tcPr>
                <w:p>
                  <w:pPr>
                    <w:bidi w:val="0"/>
                    <w:spacing w:line="240" w:lineRule="auto"/>
                    <w:jc w:val="center"/>
                    <w:rPr>
                      <w:rFonts w:hint="default"/>
                      <w:color w:val="auto"/>
                      <w:lang w:val="en-US" w:eastAsia="zh-CN"/>
                    </w:rPr>
                  </w:pPr>
                  <w:r>
                    <w:rPr>
                      <w:rFonts w:hint="eastAsia"/>
                      <w:color w:val="auto"/>
                      <w:lang w:val="en-US" w:eastAsia="zh-CN"/>
                    </w:rPr>
                    <w:t>项目不涉及新建旅游景区</w:t>
                  </w:r>
                </w:p>
              </w:tc>
              <w:tc>
                <w:tcPr>
                  <w:tcW w:w="748" w:type="dxa"/>
                  <w:vAlign w:val="center"/>
                </w:tcPr>
                <w:p>
                  <w:pPr>
                    <w:bidi w:val="0"/>
                    <w:spacing w:line="240" w:lineRule="auto"/>
                    <w:jc w:val="cente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color w:val="auto"/>
                      <w:lang w:val="en-US" w:eastAsia="zh-CN"/>
                    </w:rPr>
                  </w:pPr>
                </w:p>
              </w:tc>
              <w:tc>
                <w:tcPr>
                  <w:tcW w:w="462" w:type="dxa"/>
                  <w:vMerge w:val="continue"/>
                  <w:vAlign w:val="center"/>
                </w:tcPr>
                <w:p>
                  <w:pPr>
                    <w:bidi w:val="0"/>
                    <w:spacing w:line="240" w:lineRule="auto"/>
                    <w:jc w:val="center"/>
                    <w:rPr>
                      <w:rFonts w:hint="default"/>
                      <w:color w:val="auto"/>
                      <w:lang w:val="en-US" w:eastAsia="zh-CN"/>
                    </w:rPr>
                  </w:pPr>
                </w:p>
              </w:tc>
              <w:tc>
                <w:tcPr>
                  <w:tcW w:w="3022" w:type="dxa"/>
                  <w:vAlign w:val="center"/>
                </w:tcPr>
                <w:p>
                  <w:pPr>
                    <w:numPr>
                      <w:ilvl w:val="0"/>
                      <w:numId w:val="0"/>
                    </w:numPr>
                    <w:bidi w:val="0"/>
                    <w:spacing w:line="240" w:lineRule="auto"/>
                    <w:jc w:val="both"/>
                    <w:rPr>
                      <w:rFonts w:hint="default"/>
                      <w:color w:val="auto"/>
                      <w:lang w:val="en-US" w:eastAsia="zh-CN"/>
                    </w:rPr>
                  </w:pPr>
                  <w:r>
                    <w:rPr>
                      <w:rFonts w:hint="eastAsia"/>
                      <w:color w:val="auto"/>
                      <w:lang w:val="en-US" w:eastAsia="zh-CN"/>
                    </w:rPr>
                    <w:t>4.</w:t>
                  </w:r>
                  <w:r>
                    <w:rPr>
                      <w:rFonts w:hint="default"/>
                      <w:color w:val="auto"/>
                      <w:lang w:val="en-US" w:eastAsia="zh-CN"/>
                    </w:rPr>
                    <w:t>抓住“双核驱动、协同发展”机遇，按照“一城三区”的总体布局，加快大祥巍一体化发展，着力推动与洱源县生态保护一体化发展，与祥云县、宾川县、漾濞县产业开发合作和园区合作。</w:t>
                  </w:r>
                </w:p>
              </w:tc>
              <w:tc>
                <w:tcPr>
                  <w:tcW w:w="1862" w:type="dxa"/>
                  <w:vAlign w:val="center"/>
                </w:tcPr>
                <w:p>
                  <w:pPr>
                    <w:bidi w:val="0"/>
                    <w:spacing w:line="240" w:lineRule="auto"/>
                    <w:jc w:val="center"/>
                    <w:rPr>
                      <w:rFonts w:hint="default"/>
                      <w:color w:val="auto"/>
                      <w:lang w:val="en-US" w:eastAsia="zh-CN"/>
                    </w:rPr>
                  </w:pPr>
                  <w:r>
                    <w:rPr>
                      <w:rFonts w:hint="eastAsia"/>
                      <w:color w:val="auto"/>
                      <w:lang w:val="en-US" w:eastAsia="zh-CN"/>
                    </w:rPr>
                    <w:t>项目不涉及</w:t>
                  </w:r>
                </w:p>
              </w:tc>
              <w:tc>
                <w:tcPr>
                  <w:tcW w:w="748" w:type="dxa"/>
                  <w:vAlign w:val="center"/>
                </w:tcPr>
                <w:p>
                  <w:pPr>
                    <w:bidi w:val="0"/>
                    <w:spacing w:line="240" w:lineRule="auto"/>
                    <w:jc w:val="cente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color w:val="auto"/>
                      <w:lang w:val="en-US" w:eastAsia="zh-CN"/>
                    </w:rPr>
                  </w:pPr>
                </w:p>
              </w:tc>
              <w:tc>
                <w:tcPr>
                  <w:tcW w:w="462" w:type="dxa"/>
                  <w:vMerge w:val="continue"/>
                  <w:vAlign w:val="center"/>
                </w:tcPr>
                <w:p>
                  <w:pPr>
                    <w:bidi w:val="0"/>
                    <w:spacing w:line="240" w:lineRule="auto"/>
                    <w:jc w:val="center"/>
                    <w:rPr>
                      <w:rFonts w:hint="default"/>
                      <w:color w:val="auto"/>
                      <w:lang w:val="en-US" w:eastAsia="zh-CN"/>
                    </w:rPr>
                  </w:pPr>
                </w:p>
              </w:tc>
              <w:tc>
                <w:tcPr>
                  <w:tcW w:w="3022" w:type="dxa"/>
                  <w:vAlign w:val="center"/>
                </w:tcPr>
                <w:p>
                  <w:pPr>
                    <w:numPr>
                      <w:ilvl w:val="0"/>
                      <w:numId w:val="0"/>
                    </w:numPr>
                    <w:bidi w:val="0"/>
                    <w:spacing w:line="240" w:lineRule="auto"/>
                    <w:jc w:val="both"/>
                    <w:rPr>
                      <w:rFonts w:hint="default"/>
                      <w:color w:val="auto"/>
                      <w:lang w:val="en-US" w:eastAsia="zh-CN"/>
                    </w:rPr>
                  </w:pPr>
                  <w:r>
                    <w:rPr>
                      <w:rFonts w:hint="eastAsia"/>
                      <w:color w:val="auto"/>
                      <w:lang w:val="en-US" w:eastAsia="zh-CN"/>
                    </w:rPr>
                    <w:t>5.</w:t>
                  </w:r>
                  <w:r>
                    <w:rPr>
                      <w:rFonts w:hint="default"/>
                      <w:color w:val="auto"/>
                      <w:lang w:val="en-US" w:eastAsia="zh-CN"/>
                    </w:rPr>
                    <w:t>全面加强洱海流域空间管控，严控洱海流域建设活动。在洱海流域范围内禁止布局高污染、高排放的矿冶建材、重化工等产业，加快流域内砖瓦（新型建材除外）等建材产业的搬迁及非煤矿山生态修复，流域内不再布局水泥、砖瓦（新型建材除外）等生产企业，全面关停洱海流域除地热、矿泉水之外的所有矿山。</w:t>
                  </w:r>
                </w:p>
              </w:tc>
              <w:tc>
                <w:tcPr>
                  <w:tcW w:w="1862" w:type="dxa"/>
                  <w:vAlign w:val="center"/>
                </w:tcPr>
                <w:p>
                  <w:pPr>
                    <w:bidi w:val="0"/>
                    <w:spacing w:line="240" w:lineRule="auto"/>
                    <w:jc w:val="center"/>
                    <w:rPr>
                      <w:rFonts w:hint="default"/>
                      <w:color w:val="auto"/>
                      <w:lang w:val="en-US" w:eastAsia="zh-CN"/>
                    </w:rPr>
                  </w:pPr>
                  <w:r>
                    <w:rPr>
                      <w:rFonts w:hint="eastAsia"/>
                      <w:color w:val="auto"/>
                      <w:lang w:val="en-US" w:eastAsia="zh-CN"/>
                    </w:rPr>
                    <w:t>项目虽在洱海流域，但不属于高污染、高排放的矿冶建材，重化工等产业</w:t>
                  </w:r>
                </w:p>
              </w:tc>
              <w:tc>
                <w:tcPr>
                  <w:tcW w:w="748" w:type="dxa"/>
                  <w:vAlign w:val="center"/>
                </w:tcPr>
                <w:p>
                  <w:pPr>
                    <w:bidi w:val="0"/>
                    <w:spacing w:line="240" w:lineRule="auto"/>
                    <w:jc w:val="cente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color w:val="auto"/>
                      <w:lang w:val="en-US" w:eastAsia="zh-CN"/>
                    </w:rPr>
                  </w:pPr>
                </w:p>
              </w:tc>
              <w:tc>
                <w:tcPr>
                  <w:tcW w:w="462" w:type="dxa"/>
                  <w:vMerge w:val="restart"/>
                  <w:vAlign w:val="center"/>
                </w:tcPr>
                <w:p>
                  <w:pPr>
                    <w:bidi w:val="0"/>
                    <w:spacing w:line="240" w:lineRule="auto"/>
                    <w:jc w:val="center"/>
                    <w:rPr>
                      <w:rFonts w:hint="default"/>
                      <w:color w:val="auto"/>
                      <w:lang w:val="en-US" w:eastAsia="zh-CN"/>
                    </w:rPr>
                  </w:pPr>
                  <w:r>
                    <w:rPr>
                      <w:rFonts w:hint="default"/>
                      <w:color w:val="auto"/>
                      <w:lang w:val="en-US" w:eastAsia="zh-CN"/>
                    </w:rPr>
                    <w:t>污染物排放管控</w:t>
                  </w:r>
                </w:p>
              </w:tc>
              <w:tc>
                <w:tcPr>
                  <w:tcW w:w="3022" w:type="dxa"/>
                  <w:vAlign w:val="center"/>
                </w:tcPr>
                <w:p>
                  <w:pPr>
                    <w:numPr>
                      <w:ilvl w:val="0"/>
                      <w:numId w:val="5"/>
                    </w:numPr>
                    <w:bidi w:val="0"/>
                    <w:spacing w:line="240" w:lineRule="auto"/>
                    <w:jc w:val="center"/>
                    <w:rPr>
                      <w:rFonts w:hint="default"/>
                      <w:color w:val="auto"/>
                      <w:lang w:val="en-US" w:eastAsia="zh-CN"/>
                    </w:rPr>
                  </w:pPr>
                  <w:r>
                    <w:rPr>
                      <w:rFonts w:hint="default"/>
                      <w:color w:val="auto"/>
                      <w:lang w:val="en-US" w:eastAsia="zh-CN"/>
                    </w:rPr>
                    <w:t>加强重点流域水污染综合防治，西洱河、沘江等水污染严重地区，新建、改建、扩建重点行业建设项目实行主要水污染物排放减量置换。</w:t>
                  </w:r>
                </w:p>
              </w:tc>
              <w:tc>
                <w:tcPr>
                  <w:tcW w:w="1862" w:type="dxa"/>
                  <w:vAlign w:val="center"/>
                </w:tcPr>
                <w:p>
                  <w:pPr>
                    <w:bidi w:val="0"/>
                    <w:spacing w:line="240" w:lineRule="auto"/>
                    <w:jc w:val="center"/>
                    <w:rPr>
                      <w:rFonts w:hint="default"/>
                      <w:color w:val="auto"/>
                      <w:lang w:val="en-US" w:eastAsia="zh-CN"/>
                    </w:rPr>
                  </w:pPr>
                  <w:r>
                    <w:rPr>
                      <w:rFonts w:hint="eastAsia"/>
                      <w:color w:val="auto"/>
                      <w:lang w:val="en-US" w:eastAsia="zh-CN"/>
                    </w:rPr>
                    <w:t>项目不涉及西洱河、</w:t>
                  </w:r>
                  <w:r>
                    <w:rPr>
                      <w:rFonts w:hint="default"/>
                      <w:color w:val="auto"/>
                      <w:lang w:val="en-US" w:eastAsia="zh-CN"/>
                    </w:rPr>
                    <w:t>沘江等水污染严重地区</w:t>
                  </w:r>
                </w:p>
              </w:tc>
              <w:tc>
                <w:tcPr>
                  <w:tcW w:w="748" w:type="dxa"/>
                  <w:vAlign w:val="center"/>
                </w:tcPr>
                <w:p>
                  <w:pPr>
                    <w:bidi w:val="0"/>
                    <w:spacing w:line="240" w:lineRule="auto"/>
                    <w:jc w:val="center"/>
                    <w:rPr>
                      <w:rFonts w:hint="default"/>
                      <w:color w:val="auto"/>
                      <w:lang w:val="en-US" w:eastAsia="zh-CN"/>
                    </w:rPr>
                  </w:pPr>
                  <w:r>
                    <w:rPr>
                      <w:rFonts w:hint="default"/>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color w:val="auto"/>
                      <w:lang w:val="en-US" w:eastAsia="zh-CN"/>
                    </w:rPr>
                  </w:pPr>
                </w:p>
              </w:tc>
              <w:tc>
                <w:tcPr>
                  <w:tcW w:w="462" w:type="dxa"/>
                  <w:vMerge w:val="continue"/>
                  <w:vAlign w:val="center"/>
                </w:tcPr>
                <w:p>
                  <w:pPr>
                    <w:bidi w:val="0"/>
                    <w:spacing w:line="240" w:lineRule="auto"/>
                    <w:jc w:val="center"/>
                    <w:rPr>
                      <w:rFonts w:hint="default"/>
                      <w:color w:val="auto"/>
                      <w:lang w:val="en-US" w:eastAsia="zh-CN"/>
                    </w:rPr>
                  </w:pPr>
                </w:p>
              </w:tc>
              <w:tc>
                <w:tcPr>
                  <w:tcW w:w="3022" w:type="dxa"/>
                  <w:vAlign w:val="center"/>
                </w:tcPr>
                <w:p>
                  <w:pPr>
                    <w:numPr>
                      <w:ilvl w:val="0"/>
                      <w:numId w:val="5"/>
                    </w:numPr>
                    <w:bidi w:val="0"/>
                    <w:spacing w:line="240" w:lineRule="auto"/>
                    <w:jc w:val="center"/>
                    <w:rPr>
                      <w:rFonts w:hint="default"/>
                      <w:color w:val="auto"/>
                      <w:lang w:val="en-US" w:eastAsia="zh-CN"/>
                    </w:rPr>
                  </w:pPr>
                  <w:r>
                    <w:rPr>
                      <w:rFonts w:hint="default"/>
                      <w:color w:val="auto"/>
                      <w:lang w:val="en-US" w:eastAsia="zh-CN"/>
                    </w:rPr>
                    <w:t>推进工业园区、工况企业污水处理设施全覆盖和利用效率最大化。严格保护城乡集中式饮用水水源地，整治饮用水水源保护区内的污染源，确保饮用水安全。实现城镇生活污水、垃圾处理设施全覆盖和稳定运行。推进农村面源污染治理。</w:t>
                  </w:r>
                </w:p>
              </w:tc>
              <w:tc>
                <w:tcPr>
                  <w:tcW w:w="1862" w:type="dxa"/>
                  <w:vAlign w:val="center"/>
                </w:tcPr>
                <w:p>
                  <w:pPr>
                    <w:bidi w:val="0"/>
                    <w:spacing w:line="240" w:lineRule="auto"/>
                    <w:jc w:val="center"/>
                    <w:rPr>
                      <w:rFonts w:hint="default"/>
                      <w:color w:val="auto"/>
                      <w:lang w:val="en-US" w:eastAsia="zh-CN"/>
                    </w:rPr>
                  </w:pPr>
                  <w:r>
                    <w:rPr>
                      <w:rFonts w:hint="eastAsia"/>
                      <w:color w:val="auto"/>
                      <w:lang w:val="en-US" w:eastAsia="zh-CN"/>
                    </w:rPr>
                    <w:t>项目不涉及城乡集中式饮用水源地，项目产生的生活污水、生产废水经化粪池处理后，排入市政污水管网，最终进入牛街乡污水处理厂</w:t>
                  </w:r>
                </w:p>
              </w:tc>
              <w:tc>
                <w:tcPr>
                  <w:tcW w:w="748" w:type="dxa"/>
                  <w:vAlign w:val="center"/>
                </w:tcPr>
                <w:p>
                  <w:pPr>
                    <w:bidi w:val="0"/>
                    <w:spacing w:line="240" w:lineRule="auto"/>
                    <w:jc w:val="cente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color w:val="auto"/>
                      <w:lang w:val="en-US" w:eastAsia="zh-CN"/>
                    </w:rPr>
                  </w:pPr>
                </w:p>
              </w:tc>
              <w:tc>
                <w:tcPr>
                  <w:tcW w:w="462" w:type="dxa"/>
                  <w:vMerge w:val="continue"/>
                  <w:vAlign w:val="center"/>
                </w:tcPr>
                <w:p>
                  <w:pPr>
                    <w:bidi w:val="0"/>
                    <w:spacing w:line="240" w:lineRule="auto"/>
                    <w:jc w:val="center"/>
                    <w:rPr>
                      <w:rFonts w:hint="default"/>
                      <w:color w:val="auto"/>
                      <w:lang w:val="en-US" w:eastAsia="zh-CN"/>
                    </w:rPr>
                  </w:pPr>
                </w:p>
              </w:tc>
              <w:tc>
                <w:tcPr>
                  <w:tcW w:w="3022" w:type="dxa"/>
                  <w:vAlign w:val="center"/>
                </w:tcPr>
                <w:p>
                  <w:pPr>
                    <w:numPr>
                      <w:ilvl w:val="0"/>
                      <w:numId w:val="5"/>
                    </w:numPr>
                    <w:bidi w:val="0"/>
                    <w:spacing w:line="240" w:lineRule="auto"/>
                    <w:ind w:left="0" w:leftChars="0" w:firstLine="0" w:firstLineChars="0"/>
                    <w:jc w:val="center"/>
                    <w:rPr>
                      <w:rFonts w:hint="default"/>
                      <w:color w:val="auto"/>
                      <w:lang w:val="en-US" w:eastAsia="zh-CN"/>
                    </w:rPr>
                  </w:pPr>
                  <w:r>
                    <w:rPr>
                      <w:rFonts w:hint="default"/>
                      <w:color w:val="auto"/>
                      <w:lang w:val="en-US" w:eastAsia="zh-CN"/>
                    </w:rPr>
                    <w:t>扎实推动PM</w:t>
                  </w:r>
                  <w:r>
                    <w:rPr>
                      <w:rFonts w:hint="default"/>
                      <w:color w:val="auto"/>
                      <w:vertAlign w:val="subscript"/>
                      <w:lang w:val="en-US" w:eastAsia="zh-CN"/>
                    </w:rPr>
                    <w:t>2.5</w:t>
                  </w:r>
                  <w:r>
                    <w:rPr>
                      <w:rFonts w:hint="default"/>
                      <w:color w:val="auto"/>
                      <w:lang w:val="en-US" w:eastAsia="zh-CN"/>
                    </w:rPr>
                    <w:t>和臭氧协同控制，持续推进氮氧化物减排和重点企业超低排放改造，加大VOCs减排力度，重点提升石化、化工及含挥发性有机物产品制造企业和喷漆、印刷、电子、服装干洗等行业清洁生产和污染治理力度，逐步淘汰挥发性有机化合物含量高的产品生产和使用，严控生产过程中逃逸性有机气体的排放。</w:t>
                  </w:r>
                </w:p>
              </w:tc>
              <w:tc>
                <w:tcPr>
                  <w:tcW w:w="1862" w:type="dxa"/>
                  <w:vAlign w:val="center"/>
                </w:tcPr>
                <w:p>
                  <w:pPr>
                    <w:bidi w:val="0"/>
                    <w:spacing w:line="240" w:lineRule="auto"/>
                    <w:jc w:val="center"/>
                    <w:rPr>
                      <w:rFonts w:hint="default"/>
                      <w:color w:val="auto"/>
                      <w:lang w:val="en-US" w:eastAsia="zh-CN"/>
                    </w:rPr>
                  </w:pPr>
                  <w:r>
                    <w:rPr>
                      <w:rFonts w:hint="eastAsia"/>
                      <w:color w:val="auto"/>
                      <w:lang w:val="en-US" w:eastAsia="zh-CN"/>
                    </w:rPr>
                    <w:t>项目不涉及有机气体的排放</w:t>
                  </w:r>
                </w:p>
              </w:tc>
              <w:tc>
                <w:tcPr>
                  <w:tcW w:w="748" w:type="dxa"/>
                  <w:vAlign w:val="center"/>
                </w:tcPr>
                <w:p>
                  <w:pPr>
                    <w:bidi w:val="0"/>
                    <w:spacing w:line="240" w:lineRule="auto"/>
                    <w:jc w:val="cente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color w:val="auto"/>
                      <w:lang w:val="en-US" w:eastAsia="zh-CN"/>
                    </w:rPr>
                  </w:pPr>
                </w:p>
              </w:tc>
              <w:tc>
                <w:tcPr>
                  <w:tcW w:w="462" w:type="dxa"/>
                  <w:vMerge w:val="continue"/>
                  <w:vAlign w:val="center"/>
                </w:tcPr>
                <w:p>
                  <w:pPr>
                    <w:bidi w:val="0"/>
                    <w:spacing w:line="240" w:lineRule="auto"/>
                    <w:jc w:val="center"/>
                    <w:rPr>
                      <w:rFonts w:hint="default"/>
                      <w:color w:val="auto"/>
                      <w:lang w:val="en-US" w:eastAsia="zh-CN"/>
                    </w:rPr>
                  </w:pPr>
                </w:p>
              </w:tc>
              <w:tc>
                <w:tcPr>
                  <w:tcW w:w="3022" w:type="dxa"/>
                  <w:vAlign w:val="center"/>
                </w:tcPr>
                <w:p>
                  <w:pPr>
                    <w:numPr>
                      <w:ilvl w:val="0"/>
                      <w:numId w:val="5"/>
                    </w:numPr>
                    <w:bidi w:val="0"/>
                    <w:spacing w:line="240" w:lineRule="auto"/>
                    <w:jc w:val="center"/>
                    <w:rPr>
                      <w:rFonts w:hint="default"/>
                      <w:color w:val="auto"/>
                      <w:lang w:val="en-US" w:eastAsia="zh-CN"/>
                    </w:rPr>
                  </w:pPr>
                  <w:r>
                    <w:rPr>
                      <w:rFonts w:hint="default"/>
                      <w:color w:val="auto"/>
                      <w:lang w:val="en-US" w:eastAsia="zh-CN"/>
                    </w:rPr>
                    <w:t>严格执行钢铁、水泥等高耗能行业产能置换政策，把高效能和低碳排放纳入项目节能审查、环境影响评价等里面，明确重点行业二氧化碳排放达峰目标，控制工业、交通、建筑等行业温室气体排放。</w:t>
                  </w:r>
                </w:p>
              </w:tc>
              <w:tc>
                <w:tcPr>
                  <w:tcW w:w="1862" w:type="dxa"/>
                  <w:vAlign w:val="center"/>
                </w:tcPr>
                <w:p>
                  <w:pPr>
                    <w:bidi w:val="0"/>
                    <w:spacing w:line="240" w:lineRule="auto"/>
                    <w:jc w:val="center"/>
                    <w:rPr>
                      <w:rFonts w:hint="default"/>
                      <w:color w:val="auto"/>
                      <w:lang w:val="en-US" w:eastAsia="zh-CN"/>
                    </w:rPr>
                  </w:pPr>
                  <w:r>
                    <w:rPr>
                      <w:rFonts w:hint="eastAsia"/>
                      <w:color w:val="auto"/>
                      <w:lang w:val="en-US" w:eastAsia="zh-CN"/>
                    </w:rPr>
                    <w:t>项目不属于钢铁、水泥等高耗能行业</w:t>
                  </w:r>
                </w:p>
              </w:tc>
              <w:tc>
                <w:tcPr>
                  <w:tcW w:w="748" w:type="dxa"/>
                  <w:vAlign w:val="center"/>
                </w:tcPr>
                <w:p>
                  <w:pPr>
                    <w:bidi w:val="0"/>
                    <w:spacing w:line="240" w:lineRule="auto"/>
                    <w:jc w:val="cente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color w:val="auto"/>
                      <w:lang w:val="en-US" w:eastAsia="zh-CN"/>
                    </w:rPr>
                  </w:pPr>
                </w:p>
              </w:tc>
              <w:tc>
                <w:tcPr>
                  <w:tcW w:w="462" w:type="dxa"/>
                  <w:vMerge w:val="continue"/>
                  <w:vAlign w:val="center"/>
                </w:tcPr>
                <w:p>
                  <w:pPr>
                    <w:bidi w:val="0"/>
                    <w:spacing w:line="240" w:lineRule="auto"/>
                    <w:jc w:val="center"/>
                    <w:rPr>
                      <w:rFonts w:hint="default"/>
                      <w:color w:val="auto"/>
                      <w:lang w:val="en-US" w:eastAsia="zh-CN"/>
                    </w:rPr>
                  </w:pPr>
                </w:p>
              </w:tc>
              <w:tc>
                <w:tcPr>
                  <w:tcW w:w="3022" w:type="dxa"/>
                  <w:vAlign w:val="center"/>
                </w:tcPr>
                <w:p>
                  <w:pPr>
                    <w:numPr>
                      <w:ilvl w:val="0"/>
                      <w:numId w:val="5"/>
                    </w:numPr>
                    <w:bidi w:val="0"/>
                    <w:spacing w:line="240" w:lineRule="auto"/>
                    <w:ind w:left="0" w:leftChars="0" w:firstLine="0" w:firstLineChars="0"/>
                    <w:jc w:val="center"/>
                    <w:rPr>
                      <w:rFonts w:hint="default"/>
                      <w:color w:val="auto"/>
                      <w:lang w:val="en-US" w:eastAsia="zh-CN"/>
                    </w:rPr>
                  </w:pPr>
                  <w:r>
                    <w:rPr>
                      <w:rFonts w:hint="default"/>
                      <w:color w:val="auto"/>
                      <w:lang w:val="en-US" w:eastAsia="zh-CN"/>
                    </w:rPr>
                    <w:t>加强土壤污染防治，实行农用地分类管理，严格建设用地准入，动态更新土壤环境污染重点监管企业名单，落实重点监管企业土壤污染隐患排查，建立土壤污染风险管控和修复名录制度，实行污染地块再开发再利用联动监管。</w:t>
                  </w:r>
                </w:p>
              </w:tc>
              <w:tc>
                <w:tcPr>
                  <w:tcW w:w="1862" w:type="dxa"/>
                  <w:vAlign w:val="center"/>
                </w:tcPr>
                <w:p>
                  <w:pPr>
                    <w:bidi w:val="0"/>
                    <w:spacing w:line="240" w:lineRule="auto"/>
                    <w:jc w:val="center"/>
                    <w:rPr>
                      <w:rFonts w:hint="default"/>
                      <w:color w:val="auto"/>
                      <w:lang w:val="en-US" w:eastAsia="zh-CN"/>
                    </w:rPr>
                  </w:pPr>
                  <w:r>
                    <w:rPr>
                      <w:rFonts w:hint="eastAsia"/>
                      <w:color w:val="auto"/>
                      <w:lang w:val="en-US" w:eastAsia="zh-CN"/>
                    </w:rPr>
                    <w:t>项目不涉及农用地</w:t>
                  </w:r>
                </w:p>
              </w:tc>
              <w:tc>
                <w:tcPr>
                  <w:tcW w:w="748" w:type="dxa"/>
                  <w:vAlign w:val="center"/>
                </w:tcPr>
                <w:p>
                  <w:pPr>
                    <w:bidi w:val="0"/>
                    <w:spacing w:line="240" w:lineRule="auto"/>
                    <w:jc w:val="cente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color w:val="auto"/>
                      <w:lang w:val="en-US" w:eastAsia="zh-CN"/>
                    </w:rPr>
                  </w:pPr>
                </w:p>
              </w:tc>
              <w:tc>
                <w:tcPr>
                  <w:tcW w:w="462" w:type="dxa"/>
                  <w:vMerge w:val="continue"/>
                  <w:vAlign w:val="center"/>
                </w:tcPr>
                <w:p>
                  <w:pPr>
                    <w:bidi w:val="0"/>
                    <w:spacing w:line="240" w:lineRule="auto"/>
                    <w:jc w:val="center"/>
                    <w:rPr>
                      <w:rFonts w:hint="default"/>
                      <w:color w:val="auto"/>
                      <w:lang w:val="en-US" w:eastAsia="zh-CN"/>
                    </w:rPr>
                  </w:pPr>
                </w:p>
              </w:tc>
              <w:tc>
                <w:tcPr>
                  <w:tcW w:w="3022" w:type="dxa"/>
                  <w:vAlign w:val="center"/>
                </w:tcPr>
                <w:p>
                  <w:pPr>
                    <w:numPr>
                      <w:ilvl w:val="0"/>
                      <w:numId w:val="5"/>
                    </w:numPr>
                    <w:bidi w:val="0"/>
                    <w:spacing w:line="240" w:lineRule="auto"/>
                    <w:jc w:val="center"/>
                    <w:rPr>
                      <w:rFonts w:hint="default"/>
                      <w:color w:val="auto"/>
                      <w:lang w:val="en-US" w:eastAsia="zh-CN"/>
                    </w:rPr>
                  </w:pPr>
                  <w:r>
                    <w:rPr>
                      <w:rFonts w:hint="default"/>
                      <w:color w:val="auto"/>
                      <w:lang w:val="en-US" w:eastAsia="zh-CN"/>
                    </w:rPr>
                    <w:t>加强重金属污染防治，严格环境准入管理。</w:t>
                  </w:r>
                </w:p>
              </w:tc>
              <w:tc>
                <w:tcPr>
                  <w:tcW w:w="1862" w:type="dxa"/>
                  <w:vAlign w:val="center"/>
                </w:tcPr>
                <w:p>
                  <w:pPr>
                    <w:bidi w:val="0"/>
                    <w:spacing w:line="240" w:lineRule="auto"/>
                    <w:jc w:val="center"/>
                    <w:rPr>
                      <w:rFonts w:hint="default"/>
                      <w:color w:val="auto"/>
                      <w:lang w:val="en-US" w:eastAsia="zh-CN"/>
                    </w:rPr>
                  </w:pPr>
                  <w:r>
                    <w:rPr>
                      <w:rFonts w:hint="eastAsia"/>
                      <w:color w:val="auto"/>
                      <w:lang w:val="en-US" w:eastAsia="zh-CN"/>
                    </w:rPr>
                    <w:t>项目不涉及重金属污染</w:t>
                  </w:r>
                </w:p>
              </w:tc>
              <w:tc>
                <w:tcPr>
                  <w:tcW w:w="748" w:type="dxa"/>
                  <w:vAlign w:val="center"/>
                </w:tcPr>
                <w:p>
                  <w:pPr>
                    <w:bidi w:val="0"/>
                    <w:spacing w:line="240" w:lineRule="auto"/>
                    <w:jc w:val="cente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color w:val="auto"/>
                      <w:lang w:val="en-US" w:eastAsia="zh-CN"/>
                    </w:rPr>
                  </w:pPr>
                </w:p>
              </w:tc>
              <w:tc>
                <w:tcPr>
                  <w:tcW w:w="462" w:type="dxa"/>
                  <w:vMerge w:val="continue"/>
                  <w:vAlign w:val="center"/>
                </w:tcPr>
                <w:p>
                  <w:pPr>
                    <w:bidi w:val="0"/>
                    <w:spacing w:line="240" w:lineRule="auto"/>
                    <w:jc w:val="center"/>
                    <w:rPr>
                      <w:rFonts w:hint="default"/>
                      <w:color w:val="auto"/>
                      <w:lang w:val="en-US" w:eastAsia="zh-CN"/>
                    </w:rPr>
                  </w:pPr>
                </w:p>
              </w:tc>
              <w:tc>
                <w:tcPr>
                  <w:tcW w:w="3022" w:type="dxa"/>
                  <w:vAlign w:val="center"/>
                </w:tcPr>
                <w:p>
                  <w:pPr>
                    <w:numPr>
                      <w:ilvl w:val="0"/>
                      <w:numId w:val="0"/>
                    </w:numPr>
                    <w:bidi w:val="0"/>
                    <w:spacing w:line="240" w:lineRule="auto"/>
                    <w:jc w:val="both"/>
                    <w:rPr>
                      <w:rFonts w:hint="default"/>
                      <w:color w:val="auto"/>
                      <w:lang w:val="en-US" w:eastAsia="zh-CN"/>
                    </w:rPr>
                  </w:pPr>
                  <w:r>
                    <w:rPr>
                      <w:rFonts w:hint="eastAsia"/>
                      <w:color w:val="auto"/>
                      <w:lang w:val="en-US" w:eastAsia="zh-CN"/>
                    </w:rPr>
                    <w:t>7.</w:t>
                  </w:r>
                  <w:r>
                    <w:rPr>
                      <w:rFonts w:hint="default"/>
                      <w:color w:val="auto"/>
                      <w:lang w:val="en-US" w:eastAsia="zh-CN"/>
                    </w:rPr>
                    <w:t>加强固体废物污染防治，建立固体废物部门联动监管长效机制，提高固体废物规范化管理水平，遏制固体废物特别是危险废物非法转移、倾倒、处置。</w:t>
                  </w:r>
                </w:p>
              </w:tc>
              <w:tc>
                <w:tcPr>
                  <w:tcW w:w="1862" w:type="dxa"/>
                  <w:vAlign w:val="center"/>
                </w:tcPr>
                <w:p>
                  <w:pPr>
                    <w:bidi w:val="0"/>
                    <w:spacing w:line="240" w:lineRule="auto"/>
                    <w:jc w:val="center"/>
                    <w:rPr>
                      <w:rFonts w:hint="default"/>
                      <w:color w:val="auto"/>
                      <w:lang w:val="en-US" w:eastAsia="zh-CN"/>
                    </w:rPr>
                  </w:pPr>
                  <w:r>
                    <w:rPr>
                      <w:rFonts w:hint="eastAsia"/>
                      <w:color w:val="auto"/>
                      <w:lang w:val="en-US" w:eastAsia="zh-CN"/>
                    </w:rPr>
                    <w:t>项目不涉及危险废物，项目产生的生活垃圾经垃圾桶收集后，交由当地环卫部门清运处理，废炉渣经统一收集后，交由周边农户清运作农肥；包装废料经统一收集后，外售；污泥经污泥池收集干化后，交由当地环卫部门清运处理。</w:t>
                  </w:r>
                </w:p>
              </w:tc>
              <w:tc>
                <w:tcPr>
                  <w:tcW w:w="748" w:type="dxa"/>
                  <w:vAlign w:val="center"/>
                </w:tcPr>
                <w:p>
                  <w:pPr>
                    <w:bidi w:val="0"/>
                    <w:spacing w:line="240" w:lineRule="auto"/>
                    <w:jc w:val="cente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color w:val="auto"/>
                      <w:lang w:val="en-US" w:eastAsia="zh-CN"/>
                    </w:rPr>
                  </w:pPr>
                </w:p>
              </w:tc>
              <w:tc>
                <w:tcPr>
                  <w:tcW w:w="462" w:type="dxa"/>
                  <w:vMerge w:val="restart"/>
                  <w:vAlign w:val="center"/>
                </w:tcPr>
                <w:p>
                  <w:pPr>
                    <w:bidi w:val="0"/>
                    <w:spacing w:line="240" w:lineRule="auto"/>
                    <w:jc w:val="center"/>
                    <w:rPr>
                      <w:rFonts w:hint="default"/>
                      <w:color w:val="auto"/>
                      <w:lang w:val="en-US" w:eastAsia="zh-CN"/>
                    </w:rPr>
                  </w:pPr>
                  <w:r>
                    <w:rPr>
                      <w:rFonts w:hint="default"/>
                      <w:color w:val="auto"/>
                      <w:lang w:val="en-US" w:eastAsia="zh-CN"/>
                    </w:rPr>
                    <w:t>环境风险防控</w:t>
                  </w:r>
                </w:p>
              </w:tc>
              <w:tc>
                <w:tcPr>
                  <w:tcW w:w="3022" w:type="dxa"/>
                  <w:vAlign w:val="center"/>
                </w:tcPr>
                <w:p>
                  <w:pPr>
                    <w:numPr>
                      <w:ilvl w:val="0"/>
                      <w:numId w:val="6"/>
                    </w:numPr>
                    <w:bidi w:val="0"/>
                    <w:spacing w:line="240" w:lineRule="auto"/>
                    <w:jc w:val="center"/>
                    <w:rPr>
                      <w:rFonts w:hint="default"/>
                      <w:color w:val="auto"/>
                      <w:lang w:val="en-US" w:eastAsia="zh-CN"/>
                    </w:rPr>
                  </w:pPr>
                  <w:r>
                    <w:rPr>
                      <w:rFonts w:hint="default"/>
                      <w:color w:val="auto"/>
                      <w:lang w:val="en-US" w:eastAsia="zh-CN"/>
                    </w:rPr>
                    <w:t>加强环境风险防控和应急管理，完善突发环境事件应急预案，强化落实政府主导、部门协调、分级负责、属地为主、全社会参与的环境风险管控机制，定期开展环境风险隐患排查与整治，提升风险防控和突发环境事件应急处理处置能力</w:t>
                  </w:r>
                  <w:r>
                    <w:rPr>
                      <w:rFonts w:hint="eastAsia"/>
                      <w:color w:val="auto"/>
                      <w:lang w:val="en-US" w:eastAsia="zh-CN"/>
                    </w:rPr>
                    <w:t>。</w:t>
                  </w:r>
                </w:p>
              </w:tc>
              <w:tc>
                <w:tcPr>
                  <w:tcW w:w="1862" w:type="dxa"/>
                  <w:vAlign w:val="center"/>
                </w:tcPr>
                <w:p>
                  <w:pPr>
                    <w:bidi w:val="0"/>
                    <w:spacing w:line="240" w:lineRule="auto"/>
                    <w:jc w:val="center"/>
                    <w:rPr>
                      <w:rFonts w:hint="default"/>
                      <w:color w:val="auto"/>
                      <w:lang w:val="en-US" w:eastAsia="zh-CN"/>
                    </w:rPr>
                  </w:pPr>
                  <w:r>
                    <w:rPr>
                      <w:rFonts w:hint="default"/>
                      <w:color w:val="auto"/>
                      <w:lang w:val="en-US" w:eastAsia="zh-CN"/>
                    </w:rPr>
                    <w:t>企业在运营过程中按照《突发环境事件应急管理办法》（环境保护部令第34号）、《企业事业单位突发环境应急预案备案管理办法》（环发[2015]4号）进行突发环境事件应急管控</w:t>
                  </w:r>
                </w:p>
              </w:tc>
              <w:tc>
                <w:tcPr>
                  <w:tcW w:w="748" w:type="dxa"/>
                  <w:vAlign w:val="center"/>
                </w:tcPr>
                <w:p>
                  <w:pPr>
                    <w:bidi w:val="0"/>
                    <w:spacing w:line="240" w:lineRule="auto"/>
                    <w:jc w:val="center"/>
                    <w:rPr>
                      <w:rFonts w:hint="default"/>
                      <w:color w:val="auto"/>
                      <w:lang w:val="en-US" w:eastAsia="zh-CN"/>
                    </w:rPr>
                  </w:pPr>
                  <w:r>
                    <w:rPr>
                      <w:rFonts w:hint="default"/>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color w:val="auto"/>
                      <w:lang w:val="en-US" w:eastAsia="zh-CN"/>
                    </w:rPr>
                  </w:pPr>
                </w:p>
              </w:tc>
              <w:tc>
                <w:tcPr>
                  <w:tcW w:w="462" w:type="dxa"/>
                  <w:vMerge w:val="continue"/>
                  <w:vAlign w:val="center"/>
                </w:tcPr>
                <w:p>
                  <w:pPr>
                    <w:bidi w:val="0"/>
                    <w:spacing w:line="240" w:lineRule="auto"/>
                    <w:jc w:val="center"/>
                    <w:rPr>
                      <w:rFonts w:hint="default"/>
                      <w:color w:val="auto"/>
                      <w:lang w:val="en-US" w:eastAsia="zh-CN"/>
                    </w:rPr>
                  </w:pPr>
                </w:p>
              </w:tc>
              <w:tc>
                <w:tcPr>
                  <w:tcW w:w="3022" w:type="dxa"/>
                  <w:vAlign w:val="center"/>
                </w:tcPr>
                <w:p>
                  <w:pPr>
                    <w:bidi w:val="0"/>
                    <w:spacing w:line="240" w:lineRule="auto"/>
                    <w:jc w:val="center"/>
                    <w:rPr>
                      <w:rFonts w:hint="default"/>
                      <w:color w:val="auto"/>
                      <w:lang w:val="en-US" w:eastAsia="zh-CN"/>
                    </w:rPr>
                  </w:pPr>
                  <w:r>
                    <w:rPr>
                      <w:rFonts w:hint="eastAsia"/>
                      <w:color w:val="auto"/>
                      <w:lang w:val="en-US" w:eastAsia="zh-CN"/>
                    </w:rPr>
                    <w:t>2.</w:t>
                  </w:r>
                  <w:r>
                    <w:rPr>
                      <w:rFonts w:hint="default"/>
                      <w:color w:val="auto"/>
                      <w:lang w:val="en-US" w:eastAsia="zh-CN"/>
                    </w:rPr>
                    <w:t>严格落实以洱海为重点的饮用水水源地应急防控工作机制，确保饮用水水源安全。</w:t>
                  </w:r>
                </w:p>
              </w:tc>
              <w:tc>
                <w:tcPr>
                  <w:tcW w:w="1862" w:type="dxa"/>
                  <w:vAlign w:val="center"/>
                </w:tcPr>
                <w:p>
                  <w:pPr>
                    <w:bidi w:val="0"/>
                    <w:spacing w:line="240" w:lineRule="auto"/>
                    <w:jc w:val="center"/>
                    <w:rPr>
                      <w:rFonts w:hint="default"/>
                      <w:color w:val="auto"/>
                      <w:lang w:val="en-US" w:eastAsia="zh-CN"/>
                    </w:rPr>
                  </w:pPr>
                  <w:r>
                    <w:rPr>
                      <w:rFonts w:hint="eastAsia"/>
                      <w:color w:val="auto"/>
                      <w:lang w:val="en-US" w:eastAsia="zh-CN"/>
                    </w:rPr>
                    <w:t>项目不涉及洱海为重点的饮用水水源</w:t>
                  </w:r>
                </w:p>
              </w:tc>
              <w:tc>
                <w:tcPr>
                  <w:tcW w:w="748" w:type="dxa"/>
                  <w:vAlign w:val="center"/>
                </w:tcPr>
                <w:p>
                  <w:pPr>
                    <w:bidi w:val="0"/>
                    <w:spacing w:line="240" w:lineRule="auto"/>
                    <w:jc w:val="cente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color w:val="auto"/>
                      <w:lang w:val="en-US" w:eastAsia="zh-CN"/>
                    </w:rPr>
                  </w:pPr>
                </w:p>
              </w:tc>
              <w:tc>
                <w:tcPr>
                  <w:tcW w:w="462" w:type="dxa"/>
                  <w:vMerge w:val="continue"/>
                  <w:vAlign w:val="center"/>
                </w:tcPr>
                <w:p>
                  <w:pPr>
                    <w:bidi w:val="0"/>
                    <w:spacing w:line="240" w:lineRule="auto"/>
                    <w:jc w:val="center"/>
                    <w:rPr>
                      <w:rFonts w:hint="default"/>
                      <w:color w:val="auto"/>
                      <w:lang w:val="en-US" w:eastAsia="zh-CN"/>
                    </w:rPr>
                  </w:pPr>
                </w:p>
              </w:tc>
              <w:tc>
                <w:tcPr>
                  <w:tcW w:w="3022" w:type="dxa"/>
                  <w:vAlign w:val="center"/>
                </w:tcPr>
                <w:p>
                  <w:pPr>
                    <w:bidi w:val="0"/>
                    <w:spacing w:line="240" w:lineRule="auto"/>
                    <w:jc w:val="center"/>
                    <w:rPr>
                      <w:rFonts w:hint="default"/>
                      <w:color w:val="auto"/>
                      <w:lang w:val="en-US" w:eastAsia="zh-CN"/>
                    </w:rPr>
                  </w:pPr>
                  <w:r>
                    <w:rPr>
                      <w:rFonts w:hint="eastAsia"/>
                      <w:color w:val="auto"/>
                      <w:lang w:val="en-US" w:eastAsia="zh-CN"/>
                    </w:rPr>
                    <w:t>3.</w:t>
                  </w:r>
                  <w:r>
                    <w:rPr>
                      <w:rFonts w:hint="default"/>
                      <w:color w:val="auto"/>
                      <w:lang w:val="en-US" w:eastAsia="zh-CN"/>
                    </w:rPr>
                    <w:t>严格尾矿库项目准入，健全完善尾矿库污染防治的长效机制，杜绝非不可抗力因素导致的尾矿库突发环境事件。</w:t>
                  </w:r>
                </w:p>
              </w:tc>
              <w:tc>
                <w:tcPr>
                  <w:tcW w:w="1862" w:type="dxa"/>
                  <w:vAlign w:val="center"/>
                </w:tcPr>
                <w:p>
                  <w:pPr>
                    <w:bidi w:val="0"/>
                    <w:spacing w:line="240" w:lineRule="auto"/>
                    <w:jc w:val="center"/>
                    <w:rPr>
                      <w:rFonts w:hint="default"/>
                      <w:color w:val="auto"/>
                      <w:lang w:val="en-US" w:eastAsia="zh-CN"/>
                    </w:rPr>
                  </w:pPr>
                  <w:r>
                    <w:rPr>
                      <w:rFonts w:hint="eastAsia"/>
                      <w:color w:val="auto"/>
                      <w:lang w:val="en-US" w:eastAsia="zh-CN"/>
                    </w:rPr>
                    <w:t>项目不属于尾矿库</w:t>
                  </w:r>
                </w:p>
              </w:tc>
              <w:tc>
                <w:tcPr>
                  <w:tcW w:w="748" w:type="dxa"/>
                  <w:vAlign w:val="center"/>
                </w:tcPr>
                <w:p>
                  <w:pPr>
                    <w:bidi w:val="0"/>
                    <w:spacing w:line="240" w:lineRule="auto"/>
                    <w:jc w:val="cente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color w:val="auto"/>
                      <w:lang w:val="en-US" w:eastAsia="zh-CN"/>
                    </w:rPr>
                  </w:pPr>
                </w:p>
              </w:tc>
              <w:tc>
                <w:tcPr>
                  <w:tcW w:w="462" w:type="dxa"/>
                  <w:vMerge w:val="restart"/>
                  <w:vAlign w:val="center"/>
                </w:tcPr>
                <w:p>
                  <w:pPr>
                    <w:bidi w:val="0"/>
                    <w:spacing w:line="240" w:lineRule="auto"/>
                    <w:jc w:val="center"/>
                    <w:rPr>
                      <w:rFonts w:hint="default"/>
                      <w:color w:val="auto"/>
                      <w:lang w:val="en-US" w:eastAsia="zh-CN"/>
                    </w:rPr>
                  </w:pPr>
                  <w:r>
                    <w:rPr>
                      <w:rFonts w:hint="default"/>
                      <w:color w:val="auto"/>
                      <w:lang w:val="en-US" w:eastAsia="zh-CN"/>
                    </w:rPr>
                    <w:t>资源开发利用效率</w:t>
                  </w:r>
                </w:p>
              </w:tc>
              <w:tc>
                <w:tcPr>
                  <w:tcW w:w="3022" w:type="dxa"/>
                  <w:vAlign w:val="center"/>
                </w:tcPr>
                <w:p>
                  <w:pPr>
                    <w:numPr>
                      <w:ilvl w:val="0"/>
                      <w:numId w:val="7"/>
                    </w:numPr>
                    <w:bidi w:val="0"/>
                    <w:spacing w:line="240" w:lineRule="auto"/>
                    <w:jc w:val="center"/>
                    <w:rPr>
                      <w:rFonts w:hint="default"/>
                      <w:color w:val="auto"/>
                      <w:lang w:val="en-US" w:eastAsia="zh-CN"/>
                    </w:rPr>
                  </w:pPr>
                  <w:r>
                    <w:rPr>
                      <w:rFonts w:hint="default"/>
                      <w:color w:val="auto"/>
                      <w:lang w:val="en-US" w:eastAsia="zh-CN"/>
                    </w:rPr>
                    <w:t>强化约束性指标管理，降低水、土地、化石能源等资源消耗强度。</w:t>
                  </w:r>
                </w:p>
              </w:tc>
              <w:tc>
                <w:tcPr>
                  <w:tcW w:w="1862" w:type="dxa"/>
                  <w:vAlign w:val="center"/>
                </w:tcPr>
                <w:p>
                  <w:pPr>
                    <w:bidi w:val="0"/>
                    <w:spacing w:line="240" w:lineRule="auto"/>
                    <w:jc w:val="center"/>
                    <w:rPr>
                      <w:rFonts w:hint="default"/>
                      <w:color w:val="auto"/>
                      <w:lang w:val="en-US" w:eastAsia="zh-CN"/>
                    </w:rPr>
                  </w:pPr>
                  <w:r>
                    <w:rPr>
                      <w:rFonts w:hint="default"/>
                      <w:color w:val="auto"/>
                      <w:lang w:val="en-US" w:eastAsia="zh-CN"/>
                    </w:rPr>
                    <w:t>项目位于</w:t>
                  </w:r>
                  <w:r>
                    <w:rPr>
                      <w:rFonts w:hint="eastAsia"/>
                      <w:color w:val="auto"/>
                      <w:lang w:val="en-US" w:eastAsia="zh-CN"/>
                    </w:rPr>
                    <w:t>洱源县牛街乡太平村，租用原红砖厂地块进行建设，项目占地面积小，不使用化石能源</w:t>
                  </w:r>
                  <w:r>
                    <w:rPr>
                      <w:rFonts w:hint="default"/>
                      <w:color w:val="auto"/>
                      <w:lang w:val="en-US" w:eastAsia="zh-CN"/>
                    </w:rPr>
                    <w:t>。</w:t>
                  </w:r>
                </w:p>
              </w:tc>
              <w:tc>
                <w:tcPr>
                  <w:tcW w:w="748" w:type="dxa"/>
                  <w:vAlign w:val="center"/>
                </w:tcPr>
                <w:p>
                  <w:pPr>
                    <w:bidi w:val="0"/>
                    <w:spacing w:line="240" w:lineRule="auto"/>
                    <w:jc w:val="center"/>
                    <w:rPr>
                      <w:rFonts w:hint="default"/>
                      <w:color w:val="auto"/>
                      <w:lang w:val="en-US" w:eastAsia="zh-CN"/>
                    </w:rPr>
                  </w:pPr>
                  <w:r>
                    <w:rPr>
                      <w:rFonts w:hint="default"/>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color w:val="auto"/>
                      <w:lang w:val="en-US" w:eastAsia="zh-CN"/>
                    </w:rPr>
                  </w:pPr>
                </w:p>
              </w:tc>
              <w:tc>
                <w:tcPr>
                  <w:tcW w:w="462" w:type="dxa"/>
                  <w:vMerge w:val="continue"/>
                  <w:vAlign w:val="center"/>
                </w:tcPr>
                <w:p>
                  <w:pPr>
                    <w:bidi w:val="0"/>
                    <w:spacing w:line="240" w:lineRule="auto"/>
                    <w:jc w:val="center"/>
                    <w:rPr>
                      <w:rFonts w:hint="default"/>
                      <w:color w:val="auto"/>
                      <w:lang w:val="en-US" w:eastAsia="zh-CN"/>
                    </w:rPr>
                  </w:pPr>
                </w:p>
              </w:tc>
              <w:tc>
                <w:tcPr>
                  <w:tcW w:w="3022" w:type="dxa"/>
                  <w:vAlign w:val="center"/>
                </w:tcPr>
                <w:p>
                  <w:pPr>
                    <w:numPr>
                      <w:ilvl w:val="0"/>
                      <w:numId w:val="7"/>
                    </w:numPr>
                    <w:bidi w:val="0"/>
                    <w:spacing w:line="240" w:lineRule="auto"/>
                    <w:jc w:val="center"/>
                    <w:rPr>
                      <w:rFonts w:hint="default"/>
                      <w:color w:val="auto"/>
                      <w:lang w:val="en-US" w:eastAsia="zh-CN"/>
                    </w:rPr>
                  </w:pPr>
                  <w:r>
                    <w:rPr>
                      <w:rFonts w:hint="default"/>
                      <w:color w:val="auto"/>
                      <w:lang w:val="en-US" w:eastAsia="zh-CN"/>
                    </w:rPr>
                    <w:t>实行最严格的水资源管理制度，建立健全重点取水单位监控名录，强化重点监控取水单位管理，严格用水总量、强度指标管控。全州年用水总量、万元工业增加值用水量降幅等指标达到省考核要求。</w:t>
                  </w:r>
                </w:p>
              </w:tc>
              <w:tc>
                <w:tcPr>
                  <w:tcW w:w="1862" w:type="dxa"/>
                  <w:vAlign w:val="center"/>
                </w:tcPr>
                <w:p>
                  <w:pPr>
                    <w:bidi w:val="0"/>
                    <w:spacing w:line="240" w:lineRule="auto"/>
                    <w:jc w:val="center"/>
                    <w:rPr>
                      <w:rFonts w:hint="default"/>
                      <w:color w:val="auto"/>
                      <w:lang w:val="en-US" w:eastAsia="zh-CN"/>
                    </w:rPr>
                  </w:pPr>
                  <w:r>
                    <w:rPr>
                      <w:rFonts w:hint="eastAsia"/>
                      <w:color w:val="auto"/>
                      <w:lang w:val="en-US" w:eastAsia="zh-CN"/>
                    </w:rPr>
                    <w:t>项目不涉及</w:t>
                  </w:r>
                </w:p>
              </w:tc>
              <w:tc>
                <w:tcPr>
                  <w:tcW w:w="748" w:type="dxa"/>
                  <w:vAlign w:val="center"/>
                </w:tcPr>
                <w:p>
                  <w:pPr>
                    <w:bidi w:val="0"/>
                    <w:spacing w:line="240" w:lineRule="auto"/>
                    <w:jc w:val="cente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color w:val="auto"/>
                      <w:lang w:val="en-US" w:eastAsia="zh-CN"/>
                    </w:rPr>
                  </w:pPr>
                </w:p>
              </w:tc>
              <w:tc>
                <w:tcPr>
                  <w:tcW w:w="462" w:type="dxa"/>
                  <w:vMerge w:val="continue"/>
                  <w:vAlign w:val="center"/>
                </w:tcPr>
                <w:p>
                  <w:pPr>
                    <w:bidi w:val="0"/>
                    <w:spacing w:line="240" w:lineRule="auto"/>
                    <w:jc w:val="center"/>
                    <w:rPr>
                      <w:rFonts w:hint="default"/>
                      <w:color w:val="auto"/>
                      <w:lang w:val="en-US" w:eastAsia="zh-CN"/>
                    </w:rPr>
                  </w:pPr>
                </w:p>
              </w:tc>
              <w:tc>
                <w:tcPr>
                  <w:tcW w:w="3022" w:type="dxa"/>
                  <w:vAlign w:val="center"/>
                </w:tcPr>
                <w:p>
                  <w:pPr>
                    <w:numPr>
                      <w:ilvl w:val="0"/>
                      <w:numId w:val="7"/>
                    </w:numPr>
                    <w:bidi w:val="0"/>
                    <w:spacing w:line="240" w:lineRule="auto"/>
                    <w:ind w:left="0" w:leftChars="0" w:firstLine="0" w:firstLineChars="0"/>
                    <w:jc w:val="center"/>
                    <w:rPr>
                      <w:rFonts w:hint="default"/>
                      <w:color w:val="auto"/>
                      <w:lang w:val="en-US" w:eastAsia="zh-CN"/>
                    </w:rPr>
                  </w:pPr>
                  <w:r>
                    <w:rPr>
                      <w:rFonts w:hint="default"/>
                      <w:color w:val="auto"/>
                      <w:lang w:val="en-US" w:eastAsia="zh-CN"/>
                    </w:rPr>
                    <w:t>坚持最严格的耕地保护制度，守住耕地保护红线，提高土地投资强度和单位面积产出水平。</w:t>
                  </w:r>
                </w:p>
              </w:tc>
              <w:tc>
                <w:tcPr>
                  <w:tcW w:w="1862" w:type="dxa"/>
                  <w:vAlign w:val="center"/>
                </w:tcPr>
                <w:p>
                  <w:pPr>
                    <w:bidi w:val="0"/>
                    <w:spacing w:line="240" w:lineRule="auto"/>
                    <w:jc w:val="center"/>
                    <w:rPr>
                      <w:rFonts w:hint="default"/>
                      <w:color w:val="auto"/>
                      <w:lang w:val="en-US" w:eastAsia="zh-CN"/>
                    </w:rPr>
                  </w:pPr>
                  <w:r>
                    <w:rPr>
                      <w:rFonts w:hint="eastAsia"/>
                      <w:color w:val="auto"/>
                      <w:lang w:val="en-US" w:eastAsia="zh-CN"/>
                    </w:rPr>
                    <w:t>项目不涉及生态保护红线</w:t>
                  </w:r>
                </w:p>
              </w:tc>
              <w:tc>
                <w:tcPr>
                  <w:tcW w:w="748" w:type="dxa"/>
                  <w:vAlign w:val="center"/>
                </w:tcPr>
                <w:p>
                  <w:pPr>
                    <w:bidi w:val="0"/>
                    <w:spacing w:line="240" w:lineRule="auto"/>
                    <w:jc w:val="cente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vAlign w:val="center"/>
                </w:tcPr>
                <w:p>
                  <w:pPr>
                    <w:bidi w:val="0"/>
                    <w:spacing w:line="240" w:lineRule="auto"/>
                    <w:jc w:val="center"/>
                    <w:rPr>
                      <w:rFonts w:hint="default"/>
                      <w:color w:val="auto"/>
                      <w:lang w:val="en-US" w:eastAsia="zh-CN"/>
                    </w:rPr>
                  </w:pPr>
                </w:p>
              </w:tc>
              <w:tc>
                <w:tcPr>
                  <w:tcW w:w="462" w:type="dxa"/>
                  <w:vMerge w:val="continue"/>
                  <w:vAlign w:val="center"/>
                </w:tcPr>
                <w:p>
                  <w:pPr>
                    <w:bidi w:val="0"/>
                    <w:spacing w:line="240" w:lineRule="auto"/>
                    <w:jc w:val="center"/>
                    <w:rPr>
                      <w:rFonts w:hint="default"/>
                      <w:color w:val="auto"/>
                      <w:lang w:val="en-US" w:eastAsia="zh-CN"/>
                    </w:rPr>
                  </w:pPr>
                </w:p>
              </w:tc>
              <w:tc>
                <w:tcPr>
                  <w:tcW w:w="3022" w:type="dxa"/>
                  <w:vAlign w:val="center"/>
                </w:tcPr>
                <w:p>
                  <w:pPr>
                    <w:numPr>
                      <w:ilvl w:val="0"/>
                      <w:numId w:val="7"/>
                    </w:numPr>
                    <w:bidi w:val="0"/>
                    <w:spacing w:line="240" w:lineRule="auto"/>
                    <w:jc w:val="center"/>
                    <w:rPr>
                      <w:rFonts w:hint="default"/>
                      <w:color w:val="auto"/>
                      <w:lang w:val="en-US" w:eastAsia="zh-CN"/>
                    </w:rPr>
                  </w:pPr>
                  <w:r>
                    <w:rPr>
                      <w:rFonts w:hint="default"/>
                      <w:color w:val="auto"/>
                      <w:lang w:val="en-US" w:eastAsia="zh-CN"/>
                    </w:rPr>
                    <w:t>全州单位GDP能耗持续下降，能耗增量控制目标达标到省考核要求。</w:t>
                  </w:r>
                </w:p>
              </w:tc>
              <w:tc>
                <w:tcPr>
                  <w:tcW w:w="1862" w:type="dxa"/>
                  <w:vAlign w:val="center"/>
                </w:tcPr>
                <w:p>
                  <w:pPr>
                    <w:bidi w:val="0"/>
                    <w:spacing w:line="240" w:lineRule="auto"/>
                    <w:jc w:val="center"/>
                    <w:rPr>
                      <w:rFonts w:hint="default"/>
                      <w:color w:val="auto"/>
                      <w:lang w:val="en-US" w:eastAsia="zh-CN"/>
                    </w:rPr>
                  </w:pPr>
                  <w:r>
                    <w:rPr>
                      <w:rFonts w:hint="default"/>
                      <w:color w:val="auto"/>
                      <w:lang w:val="en-US" w:eastAsia="zh-CN"/>
                    </w:rPr>
                    <w:t>项目产生的</w:t>
                  </w:r>
                  <w:r>
                    <w:rPr>
                      <w:rFonts w:hint="eastAsia"/>
                      <w:color w:val="auto"/>
                      <w:lang w:val="en-US" w:eastAsia="zh-CN"/>
                    </w:rPr>
                    <w:t>生活污</w:t>
                  </w:r>
                  <w:r>
                    <w:rPr>
                      <w:rFonts w:hint="default"/>
                      <w:color w:val="auto"/>
                      <w:lang w:val="en-US" w:eastAsia="zh-CN"/>
                    </w:rPr>
                    <w:t>水、</w:t>
                  </w:r>
                  <w:r>
                    <w:rPr>
                      <w:rFonts w:hint="eastAsia"/>
                      <w:color w:val="auto"/>
                      <w:lang w:val="en-US" w:eastAsia="zh-CN"/>
                    </w:rPr>
                    <w:t>生产废水</w:t>
                  </w:r>
                  <w:r>
                    <w:rPr>
                      <w:rFonts w:hint="default"/>
                      <w:color w:val="auto"/>
                      <w:lang w:val="en-US" w:eastAsia="zh-CN"/>
                    </w:rPr>
                    <w:t>经化粪池</w:t>
                  </w:r>
                  <w:r>
                    <w:rPr>
                      <w:rFonts w:hint="eastAsia"/>
                      <w:color w:val="auto"/>
                      <w:lang w:val="en-US" w:eastAsia="zh-CN"/>
                    </w:rPr>
                    <w:t>处理达标后，排入市政污水管网，最终进入牛街乡污水处理厂</w:t>
                  </w:r>
                  <w:r>
                    <w:rPr>
                      <w:rFonts w:hint="default"/>
                      <w:color w:val="auto"/>
                      <w:lang w:val="en-US" w:eastAsia="zh-CN"/>
                    </w:rPr>
                    <w:t>。</w:t>
                  </w:r>
                </w:p>
              </w:tc>
              <w:tc>
                <w:tcPr>
                  <w:tcW w:w="748" w:type="dxa"/>
                  <w:vAlign w:val="center"/>
                </w:tcPr>
                <w:p>
                  <w:pPr>
                    <w:bidi w:val="0"/>
                    <w:spacing w:line="240" w:lineRule="auto"/>
                    <w:jc w:val="center"/>
                    <w:rPr>
                      <w:rFonts w:hint="default"/>
                      <w:color w:val="auto"/>
                      <w:lang w:val="en-US" w:eastAsia="zh-CN"/>
                    </w:rPr>
                  </w:pPr>
                  <w:r>
                    <w:rPr>
                      <w:rFonts w:hint="eastAsia"/>
                      <w:color w:val="auto"/>
                      <w:lang w:val="en-US" w:eastAsia="zh-CN"/>
                    </w:rPr>
                    <w:t>符合</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eastAsia"/>
                <w:color w:val="auto"/>
                <w:sz w:val="24"/>
                <w:szCs w:val="24"/>
                <w:lang w:val="en-US" w:eastAsia="zh-CN"/>
              </w:rPr>
              <w:t>项目位于洱源县牛街乡太平村，项目不属于洱源县优先保护单元中的生态保护红线优先保护单元，一般生态空间优先保护单元和饮用水水源地优先保护单元，不属于洱源县工业集中重点管控单元，项目属于洱源县一般管控单元。管控要求：落实生态环境保护基本要求，项目建设和运行应满足产业准入、总量控制、排放标准等管理要求。本项目建设过程中严格落实生态环境保护基本要求，项目建设和运行能够满足产业准入、总量控制、排放标准等管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default"/>
                <w:color w:val="auto"/>
                <w:sz w:val="24"/>
                <w:szCs w:val="24"/>
                <w:lang w:val="en-US" w:eastAsia="zh-CN"/>
              </w:rPr>
              <w:t>综上所述，项目与《大理州“三线一单”生态环境分区管控实施方案》（大政发[2021]29号）要求相符。</w:t>
            </w:r>
          </w:p>
          <w:p>
            <w:pPr>
              <w:numPr>
                <w:ilvl w:val="0"/>
                <w:numId w:val="2"/>
              </w:numPr>
              <w:bidi w:val="0"/>
              <w:ind w:left="0" w:leftChars="0"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与《水污染防治行动计划》</w:t>
            </w:r>
            <w:r>
              <w:rPr>
                <w:rFonts w:hint="eastAsia" w:ascii="Times New Roman" w:hAnsi="Times New Roman" w:eastAsia="宋体" w:cs="Times New Roman"/>
                <w:color w:val="auto"/>
                <w:sz w:val="24"/>
                <w:szCs w:val="24"/>
                <w:highlight w:val="none"/>
                <w:lang w:val="en-US" w:eastAsia="zh-CN"/>
              </w:rPr>
              <w:t>（国发[2015]17号）</w:t>
            </w:r>
            <w:r>
              <w:rPr>
                <w:rFonts w:hint="eastAsia" w:ascii="Times New Roman" w:hAnsi="Times New Roman" w:eastAsia="宋体" w:cs="Times New Roman"/>
                <w:color w:val="auto"/>
                <w:sz w:val="24"/>
                <w:szCs w:val="24"/>
                <w:lang w:val="en-US" w:eastAsia="zh-CN"/>
              </w:rPr>
              <w:t>符合性分析</w:t>
            </w:r>
          </w:p>
          <w:p>
            <w:pPr>
              <w:numPr>
                <w:ilvl w:val="0"/>
                <w:numId w:val="0"/>
              </w:numPr>
              <w:ind w:leftChars="0"/>
              <w:jc w:val="center"/>
              <w:rPr>
                <w:rFonts w:hint="eastAsia"/>
                <w:b/>
                <w:bCs/>
                <w:color w:val="auto"/>
                <w:lang w:val="en-US" w:eastAsia="zh-CN"/>
              </w:rPr>
            </w:pPr>
          </w:p>
          <w:p>
            <w:pPr>
              <w:numPr>
                <w:ilvl w:val="0"/>
                <w:numId w:val="0"/>
              </w:numPr>
              <w:ind w:leftChars="0"/>
              <w:jc w:val="center"/>
              <w:rPr>
                <w:rFonts w:hint="eastAsia"/>
                <w:b/>
                <w:bCs/>
                <w:color w:val="auto"/>
                <w:lang w:val="en-US" w:eastAsia="zh-CN"/>
              </w:rPr>
            </w:pPr>
            <w:r>
              <w:rPr>
                <w:rFonts w:hint="eastAsia"/>
                <w:b/>
                <w:bCs/>
                <w:color w:val="auto"/>
                <w:lang w:val="en-US" w:eastAsia="zh-CN"/>
              </w:rPr>
              <w:t>表1-3  水污染防治行动计划符合性分析表</w:t>
            </w:r>
          </w:p>
          <w:tbl>
            <w:tblPr>
              <w:tblStyle w:val="7"/>
              <w:tblW w:w="6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723"/>
              <w:gridCol w:w="2457"/>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6"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序号</w:t>
                  </w:r>
                </w:p>
              </w:tc>
              <w:tc>
                <w:tcPr>
                  <w:tcW w:w="2723"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准入条件要求</w:t>
                  </w:r>
                </w:p>
              </w:tc>
              <w:tc>
                <w:tcPr>
                  <w:tcW w:w="2457"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项目情况</w:t>
                  </w:r>
                </w:p>
              </w:tc>
              <w:tc>
                <w:tcPr>
                  <w:tcW w:w="913"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6"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2723"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全面控制污染物排放，狠抓工业污染防治。强化城镇生活污水治理。推进农业农村污染防治。</w:t>
                  </w:r>
                </w:p>
              </w:tc>
              <w:tc>
                <w:tcPr>
                  <w:tcW w:w="2457"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项目运营期产生的</w:t>
                  </w:r>
                  <w:r>
                    <w:rPr>
                      <w:rFonts w:hint="eastAsia" w:ascii="Times New Roman" w:hAnsi="Times New Roman" w:eastAsia="宋体" w:cs="Times New Roman"/>
                      <w:color w:val="auto"/>
                      <w:sz w:val="21"/>
                      <w:szCs w:val="21"/>
                      <w:lang w:val="en-US" w:eastAsia="zh-CN"/>
                    </w:rPr>
                    <w:t>生活污水、生产废水经化粪池处理达标后，排入市政污水管网，最终进入牛街乡污水处理厂</w:t>
                  </w:r>
                  <w:r>
                    <w:rPr>
                      <w:rFonts w:hint="default" w:ascii="Times New Roman" w:hAnsi="Times New Roman" w:eastAsia="宋体" w:cs="Times New Roman"/>
                      <w:color w:val="auto"/>
                      <w:sz w:val="21"/>
                      <w:szCs w:val="21"/>
                      <w:lang w:val="en-US" w:eastAsia="zh-CN"/>
                    </w:rPr>
                    <w:t>。</w:t>
                  </w:r>
                </w:p>
              </w:tc>
              <w:tc>
                <w:tcPr>
                  <w:tcW w:w="913"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6"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2723"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着力节约保护水资源，控制用水量。提高用水效率。科学保护水资源。</w:t>
                  </w:r>
                </w:p>
              </w:tc>
              <w:tc>
                <w:tcPr>
                  <w:tcW w:w="2457"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项目严格控制用水量，生产使用节能降耗设备。</w:t>
                  </w:r>
                </w:p>
              </w:tc>
              <w:tc>
                <w:tcPr>
                  <w:tcW w:w="913"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6"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2723"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切实加强水环境管理，强化环境质量目标管理。深化污染物排放总量控制。严格环境风险控制。全面推行排污许可。</w:t>
                  </w:r>
                </w:p>
              </w:tc>
              <w:tc>
                <w:tcPr>
                  <w:tcW w:w="2457"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项目运营期产生的废水经</w:t>
                  </w:r>
                  <w:r>
                    <w:rPr>
                      <w:rFonts w:hint="eastAsia" w:ascii="Times New Roman" w:hAnsi="Times New Roman" w:eastAsia="宋体" w:cs="Times New Roman"/>
                      <w:color w:val="auto"/>
                      <w:sz w:val="21"/>
                      <w:szCs w:val="21"/>
                      <w:lang w:val="en-US" w:eastAsia="zh-CN"/>
                    </w:rPr>
                    <w:t>化粪池</w:t>
                  </w:r>
                  <w:r>
                    <w:rPr>
                      <w:rFonts w:hint="default" w:ascii="Times New Roman" w:hAnsi="Times New Roman" w:eastAsia="宋体" w:cs="Times New Roman"/>
                      <w:color w:val="auto"/>
                      <w:sz w:val="21"/>
                      <w:szCs w:val="21"/>
                      <w:lang w:val="en-US" w:eastAsia="zh-CN"/>
                    </w:rPr>
                    <w:t>处理达到《污水综合排放标准》（GB8978-1996）三级标准及《污水排入城镇下水道水质标准》（GB/T31962-2015）</w:t>
                  </w:r>
                  <w:r>
                    <w:rPr>
                      <w:rFonts w:hint="eastAsia" w:ascii="Times New Roman" w:hAnsi="Times New Roman" w:eastAsia="宋体" w:cs="Times New Roman"/>
                      <w:color w:val="auto"/>
                      <w:sz w:val="21"/>
                      <w:szCs w:val="21"/>
                      <w:lang w:val="en-US" w:eastAsia="zh-CN"/>
                    </w:rPr>
                    <w:t>A</w:t>
                  </w:r>
                  <w:r>
                    <w:rPr>
                      <w:rFonts w:hint="default" w:ascii="Times New Roman" w:hAnsi="Times New Roman" w:eastAsia="宋体" w:cs="Times New Roman"/>
                      <w:color w:val="auto"/>
                      <w:sz w:val="21"/>
                      <w:szCs w:val="21"/>
                      <w:lang w:val="en-US" w:eastAsia="zh-CN"/>
                    </w:rPr>
                    <w:t>级标准后，排入市政污水管网。</w:t>
                  </w:r>
                  <w:r>
                    <w:rPr>
                      <w:rFonts w:hint="eastAsia" w:ascii="Times New Roman" w:hAnsi="Times New Roman" w:eastAsia="宋体" w:cs="Times New Roman"/>
                      <w:color w:val="auto"/>
                      <w:sz w:val="21"/>
                      <w:szCs w:val="21"/>
                      <w:lang w:val="en-US" w:eastAsia="zh-CN"/>
                    </w:rPr>
                    <w:t>项目运营期严格执行总量控制指标，并按照相关要求进行排许可申报。</w:t>
                  </w:r>
                </w:p>
              </w:tc>
              <w:tc>
                <w:tcPr>
                  <w:tcW w:w="913"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符合</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综上所述，项目符合《水污染防治行动计划》</w:t>
            </w:r>
            <w:r>
              <w:rPr>
                <w:rFonts w:hint="eastAsia" w:ascii="Times New Roman" w:hAnsi="Times New Roman" w:eastAsia="宋体" w:cs="Times New Roman"/>
                <w:color w:val="auto"/>
                <w:sz w:val="24"/>
                <w:szCs w:val="24"/>
                <w:highlight w:val="none"/>
                <w:lang w:val="en-US" w:eastAsia="zh-CN"/>
              </w:rPr>
              <w:t>（国发[2015]17号）</w:t>
            </w:r>
            <w:r>
              <w:rPr>
                <w:rFonts w:hint="default" w:ascii="Times New Roman" w:hAnsi="Times New Roman" w:eastAsia="宋体" w:cs="Times New Roman"/>
                <w:color w:val="auto"/>
                <w:sz w:val="24"/>
                <w:szCs w:val="24"/>
                <w:lang w:val="en-US" w:eastAsia="zh-CN"/>
              </w:rPr>
              <w:t>相关要求。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color w:val="auto"/>
                <w:lang w:val="en-US" w:eastAsia="zh-CN"/>
              </w:rPr>
            </w:pPr>
            <w:r>
              <w:rPr>
                <w:rFonts w:hint="default" w:ascii="Times New Roman" w:hAnsi="Times New Roman" w:eastAsia="宋体" w:cs="Times New Roman"/>
                <w:color w:val="auto"/>
                <w:sz w:val="24"/>
                <w:szCs w:val="24"/>
                <w:lang w:val="en-US" w:eastAsia="zh-CN"/>
              </w:rPr>
              <w:t>项目与《中华人民共和国大气污染防治法》</w:t>
            </w:r>
            <w:r>
              <w:rPr>
                <w:rFonts w:hint="eastAsia" w:ascii="Times New Roman" w:hAnsi="Times New Roman" w:eastAsia="宋体" w:cs="Times New Roman"/>
                <w:color w:val="auto"/>
                <w:sz w:val="24"/>
                <w:szCs w:val="24"/>
                <w:lang w:val="en-US" w:eastAsia="zh-CN"/>
              </w:rPr>
              <w:t>（2018修订）</w:t>
            </w:r>
            <w:r>
              <w:rPr>
                <w:rFonts w:hint="default" w:ascii="Times New Roman" w:hAnsi="Times New Roman" w:eastAsia="宋体" w:cs="Times New Roman"/>
                <w:color w:val="auto"/>
                <w:sz w:val="24"/>
                <w:szCs w:val="24"/>
                <w:lang w:val="en-US" w:eastAsia="zh-CN"/>
              </w:rPr>
              <w:t>相符性分析</w:t>
            </w:r>
          </w:p>
          <w:p>
            <w:pPr>
              <w:numPr>
                <w:ilvl w:val="0"/>
                <w:numId w:val="0"/>
              </w:numPr>
              <w:spacing w:line="240" w:lineRule="auto"/>
              <w:ind w:leftChars="0"/>
              <w:jc w:val="center"/>
              <w:rPr>
                <w:rFonts w:hint="default"/>
                <w:b/>
                <w:bCs/>
                <w:color w:val="auto"/>
                <w:lang w:val="en-US" w:eastAsia="zh-CN"/>
              </w:rPr>
            </w:pPr>
            <w:r>
              <w:rPr>
                <w:rFonts w:hint="default"/>
                <w:b/>
                <w:bCs/>
                <w:color w:val="auto"/>
                <w:lang w:val="en-US" w:eastAsia="zh-CN"/>
              </w:rPr>
              <w:t>表1-</w:t>
            </w:r>
            <w:r>
              <w:rPr>
                <w:rFonts w:hint="eastAsia"/>
                <w:b/>
                <w:bCs/>
                <w:color w:val="auto"/>
                <w:lang w:val="en-US" w:eastAsia="zh-CN"/>
              </w:rPr>
              <w:t>4</w:t>
            </w:r>
            <w:r>
              <w:rPr>
                <w:rFonts w:hint="default"/>
                <w:b/>
                <w:bCs/>
                <w:color w:val="auto"/>
                <w:lang w:val="en-US" w:eastAsia="zh-CN"/>
              </w:rPr>
              <w:t xml:space="preserve">  项目与《中华人民共和国大气污染防治法》相符性分析</w:t>
            </w:r>
          </w:p>
          <w:tbl>
            <w:tblPr>
              <w:tblStyle w:val="7"/>
              <w:tblW w:w="6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8"/>
              <w:gridCol w:w="2360"/>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18" w:type="dxa"/>
                  <w:vAlign w:val="center"/>
                </w:tcPr>
                <w:p>
                  <w:pPr>
                    <w:numPr>
                      <w:ilvl w:val="0"/>
                      <w:numId w:val="0"/>
                    </w:numPr>
                    <w:spacing w:line="240" w:lineRule="auto"/>
                    <w:jc w:val="center"/>
                    <w:rPr>
                      <w:rFonts w:hint="default"/>
                      <w:b/>
                      <w:bCs/>
                      <w:color w:val="auto"/>
                      <w:lang w:val="en-US" w:eastAsia="zh-CN"/>
                    </w:rPr>
                  </w:pPr>
                  <w:r>
                    <w:rPr>
                      <w:rFonts w:hint="default"/>
                      <w:b/>
                      <w:bCs/>
                      <w:color w:val="auto"/>
                      <w:lang w:val="en-US" w:eastAsia="zh-CN"/>
                    </w:rPr>
                    <w:t>相关规定</w:t>
                  </w:r>
                </w:p>
              </w:tc>
              <w:tc>
                <w:tcPr>
                  <w:tcW w:w="2360" w:type="dxa"/>
                  <w:vAlign w:val="center"/>
                </w:tcPr>
                <w:p>
                  <w:pPr>
                    <w:numPr>
                      <w:ilvl w:val="0"/>
                      <w:numId w:val="0"/>
                    </w:numPr>
                    <w:spacing w:line="240" w:lineRule="auto"/>
                    <w:jc w:val="center"/>
                    <w:rPr>
                      <w:rFonts w:hint="default"/>
                      <w:b/>
                      <w:bCs/>
                      <w:color w:val="auto"/>
                      <w:lang w:val="en-US" w:eastAsia="zh-CN"/>
                    </w:rPr>
                  </w:pPr>
                  <w:r>
                    <w:rPr>
                      <w:rFonts w:hint="default"/>
                      <w:b/>
                      <w:bCs/>
                      <w:color w:val="auto"/>
                      <w:lang w:val="en-US" w:eastAsia="zh-CN"/>
                    </w:rPr>
                    <w:t>项目情况</w:t>
                  </w:r>
                </w:p>
              </w:tc>
              <w:tc>
                <w:tcPr>
                  <w:tcW w:w="934" w:type="dxa"/>
                  <w:vAlign w:val="center"/>
                </w:tcPr>
                <w:p>
                  <w:pPr>
                    <w:numPr>
                      <w:ilvl w:val="0"/>
                      <w:numId w:val="0"/>
                    </w:numPr>
                    <w:spacing w:line="240" w:lineRule="auto"/>
                    <w:jc w:val="center"/>
                    <w:rPr>
                      <w:rFonts w:hint="default"/>
                      <w:b/>
                      <w:bCs/>
                      <w:color w:val="auto"/>
                      <w:lang w:val="en-US" w:eastAsia="zh-CN"/>
                    </w:rPr>
                  </w:pPr>
                  <w:r>
                    <w:rPr>
                      <w:rFonts w:hint="default"/>
                      <w:b/>
                      <w:bCs/>
                      <w:color w:val="auto"/>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18" w:type="dxa"/>
                  <w:vAlign w:val="center"/>
                </w:tcPr>
                <w:p>
                  <w:pPr>
                    <w:numPr>
                      <w:ilvl w:val="0"/>
                      <w:numId w:val="0"/>
                    </w:numPr>
                    <w:spacing w:line="240" w:lineRule="auto"/>
                    <w:jc w:val="center"/>
                    <w:rPr>
                      <w:rFonts w:hint="default"/>
                      <w:color w:val="auto"/>
                      <w:lang w:val="en-US" w:eastAsia="zh-CN"/>
                    </w:rPr>
                  </w:pPr>
                  <w:r>
                    <w:rPr>
                      <w:rFonts w:hint="eastAsia"/>
                      <w:color w:val="auto"/>
                      <w:lang w:val="en-US" w:eastAsia="zh-CN"/>
                    </w:rPr>
                    <w:t>第七条 企业事业单位和其他生产经营者应当采取有效措施，防止、减少大气污染，对所造成的损害依法承担责任。</w:t>
                  </w:r>
                </w:p>
              </w:tc>
              <w:tc>
                <w:tcPr>
                  <w:tcW w:w="2360" w:type="dxa"/>
                  <w:vAlign w:val="center"/>
                </w:tcPr>
                <w:p>
                  <w:pPr>
                    <w:numPr>
                      <w:ilvl w:val="0"/>
                      <w:numId w:val="0"/>
                    </w:numPr>
                    <w:spacing w:line="240" w:lineRule="auto"/>
                    <w:jc w:val="center"/>
                    <w:rPr>
                      <w:rFonts w:hint="default"/>
                      <w:color w:val="auto"/>
                      <w:lang w:val="en-US" w:eastAsia="zh-CN"/>
                    </w:rPr>
                  </w:pPr>
                  <w:r>
                    <w:rPr>
                      <w:rFonts w:hint="eastAsia"/>
                      <w:color w:val="auto"/>
                      <w:lang w:val="en-US" w:eastAsia="zh-CN"/>
                    </w:rPr>
                    <w:t>项目生产过程中使用生物质燃料锅炉，锅炉配套设置水膜除尘器，锅炉废气经水膜除尘器处理达标后，经1根30m高排气筒排放。</w:t>
                  </w:r>
                </w:p>
              </w:tc>
              <w:tc>
                <w:tcPr>
                  <w:tcW w:w="934" w:type="dxa"/>
                  <w:vAlign w:val="center"/>
                </w:tcPr>
                <w:p>
                  <w:pPr>
                    <w:numPr>
                      <w:ilvl w:val="0"/>
                      <w:numId w:val="0"/>
                    </w:numPr>
                    <w:spacing w:line="240" w:lineRule="auto"/>
                    <w:jc w:val="cente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18" w:type="dxa"/>
                  <w:vAlign w:val="center"/>
                </w:tcPr>
                <w:p>
                  <w:pPr>
                    <w:bidi w:val="0"/>
                    <w:spacing w:line="240" w:lineRule="auto"/>
                    <w:jc w:val="center"/>
                    <w:rPr>
                      <w:rFonts w:hint="default"/>
                      <w:color w:val="auto"/>
                      <w:lang w:val="en-US" w:eastAsia="zh-CN"/>
                    </w:rPr>
                  </w:pPr>
                  <w:r>
                    <w:rPr>
                      <w:rFonts w:hint="default"/>
                      <w:color w:val="auto"/>
                      <w:lang w:val="en-US" w:eastAsia="zh-CN"/>
                    </w:rPr>
                    <w:t>第十八条、企业事业单位和其他生产经营者建设对大气环境有影响的项目，应当依法进行环境影响评价、公开环境影响评价文件；向大气排放污染物的，应当符合大气污染物排放标准，遵守重点大气污染物排放总量控制要求。</w:t>
                  </w:r>
                </w:p>
              </w:tc>
              <w:tc>
                <w:tcPr>
                  <w:tcW w:w="2360" w:type="dxa"/>
                  <w:vAlign w:val="center"/>
                </w:tcPr>
                <w:p>
                  <w:pPr>
                    <w:numPr>
                      <w:ilvl w:val="0"/>
                      <w:numId w:val="0"/>
                    </w:numPr>
                    <w:spacing w:line="240" w:lineRule="auto"/>
                    <w:jc w:val="center"/>
                    <w:rPr>
                      <w:rFonts w:hint="default"/>
                      <w:color w:val="auto"/>
                      <w:lang w:val="en-US" w:eastAsia="zh-CN"/>
                    </w:rPr>
                  </w:pPr>
                  <w:r>
                    <w:rPr>
                      <w:rFonts w:hint="eastAsia"/>
                      <w:color w:val="auto"/>
                      <w:lang w:val="en-US" w:eastAsia="zh-CN"/>
                    </w:rPr>
                    <w:t>项目已按要求进行环境影响评价文件的编制，项目锅炉排放废气对大气环境有影响，锅炉废气执行《锅炉大气污染物排放标准》（GB13271-2014）中表2标准。后期依法公开环境影响评价文件，向大气排放污染物能做到浓度达标及总量控制要求。</w:t>
                  </w:r>
                </w:p>
              </w:tc>
              <w:tc>
                <w:tcPr>
                  <w:tcW w:w="934" w:type="dxa"/>
                  <w:vAlign w:val="center"/>
                </w:tcPr>
                <w:p>
                  <w:pPr>
                    <w:numPr>
                      <w:ilvl w:val="0"/>
                      <w:numId w:val="0"/>
                    </w:numPr>
                    <w:spacing w:line="240" w:lineRule="auto"/>
                    <w:jc w:val="cente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418" w:type="dxa"/>
                  <w:vAlign w:val="center"/>
                </w:tcPr>
                <w:p>
                  <w:pPr>
                    <w:bidi w:val="0"/>
                    <w:spacing w:line="240" w:lineRule="auto"/>
                    <w:jc w:val="center"/>
                    <w:rPr>
                      <w:rFonts w:hint="default"/>
                      <w:color w:val="auto"/>
                      <w:lang w:val="en-US" w:eastAsia="zh-CN"/>
                    </w:rPr>
                  </w:pPr>
                  <w:r>
                    <w:rPr>
                      <w:rFonts w:hint="default"/>
                      <w:color w:val="auto"/>
                      <w:lang w:val="en-US" w:eastAsia="zh-CN"/>
                    </w:rPr>
                    <w:t>第十九条、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tc>
              <w:tc>
                <w:tcPr>
                  <w:tcW w:w="2360" w:type="dxa"/>
                  <w:vAlign w:val="center"/>
                </w:tcPr>
                <w:p>
                  <w:pPr>
                    <w:numPr>
                      <w:ilvl w:val="0"/>
                      <w:numId w:val="0"/>
                    </w:numPr>
                    <w:spacing w:line="240" w:lineRule="auto"/>
                    <w:jc w:val="center"/>
                    <w:rPr>
                      <w:rFonts w:hint="default"/>
                      <w:color w:val="auto"/>
                      <w:lang w:val="en-US" w:eastAsia="zh-CN"/>
                    </w:rPr>
                  </w:pPr>
                  <w:r>
                    <w:rPr>
                      <w:rFonts w:hint="eastAsia"/>
                      <w:color w:val="auto"/>
                      <w:lang w:val="en-US" w:eastAsia="zh-CN"/>
                    </w:rPr>
                    <w:t>项目建成投入运行前将按照排污许可管理要求办理排污许可。</w:t>
                  </w:r>
                </w:p>
              </w:tc>
              <w:tc>
                <w:tcPr>
                  <w:tcW w:w="934" w:type="dxa"/>
                  <w:vAlign w:val="center"/>
                </w:tcPr>
                <w:p>
                  <w:pPr>
                    <w:numPr>
                      <w:ilvl w:val="0"/>
                      <w:numId w:val="0"/>
                    </w:numPr>
                    <w:spacing w:line="240" w:lineRule="auto"/>
                    <w:jc w:val="cente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18" w:type="dxa"/>
                  <w:vAlign w:val="center"/>
                </w:tcPr>
                <w:p>
                  <w:pPr>
                    <w:bidi w:val="0"/>
                    <w:spacing w:line="240" w:lineRule="auto"/>
                    <w:jc w:val="center"/>
                    <w:rPr>
                      <w:rFonts w:hint="default"/>
                      <w:color w:val="auto"/>
                      <w:lang w:val="en-US" w:eastAsia="zh-CN"/>
                    </w:rPr>
                  </w:pPr>
                  <w:r>
                    <w:rPr>
                      <w:rFonts w:hint="default"/>
                      <w:color w:val="auto"/>
                      <w:lang w:val="en-US" w:eastAsia="zh-CN"/>
                    </w:rPr>
                    <w:t>第二十条、企业事业单位和其他生产经营者向大气排放污染物的，应当依照法律法规和国务院生态环境主管部门的规定设置大气污染排放口</w:t>
                  </w:r>
                </w:p>
              </w:tc>
              <w:tc>
                <w:tcPr>
                  <w:tcW w:w="2360" w:type="dxa"/>
                  <w:vAlign w:val="center"/>
                </w:tcPr>
                <w:p>
                  <w:pPr>
                    <w:numPr>
                      <w:ilvl w:val="0"/>
                      <w:numId w:val="0"/>
                    </w:numPr>
                    <w:spacing w:line="240" w:lineRule="auto"/>
                    <w:jc w:val="center"/>
                    <w:rPr>
                      <w:rFonts w:hint="default"/>
                      <w:color w:val="auto"/>
                      <w:lang w:val="en-US" w:eastAsia="zh-CN"/>
                    </w:rPr>
                  </w:pPr>
                  <w:r>
                    <w:rPr>
                      <w:rFonts w:hint="eastAsia"/>
                      <w:color w:val="auto"/>
                      <w:lang w:val="en-US" w:eastAsia="zh-CN"/>
                    </w:rPr>
                    <w:t>项目锅炉废气经水膜除尘器处理达标后经1根30m高排气筒排放。项目运营期规范设置废气排放口，确保满足要求。</w:t>
                  </w:r>
                </w:p>
              </w:tc>
              <w:tc>
                <w:tcPr>
                  <w:tcW w:w="934" w:type="dxa"/>
                  <w:vAlign w:val="center"/>
                </w:tcPr>
                <w:p>
                  <w:pPr>
                    <w:numPr>
                      <w:ilvl w:val="0"/>
                      <w:numId w:val="0"/>
                    </w:numPr>
                    <w:spacing w:line="240" w:lineRule="auto"/>
                    <w:jc w:val="center"/>
                    <w:rPr>
                      <w:rFonts w:hint="default"/>
                      <w:color w:val="auto"/>
                      <w:lang w:val="en-US" w:eastAsia="zh-CN"/>
                    </w:rPr>
                  </w:pPr>
                  <w:r>
                    <w:rPr>
                      <w:rFonts w:hint="eastAsia"/>
                      <w:color w:val="auto"/>
                      <w:lang w:val="en-US" w:eastAsia="zh-CN"/>
                    </w:rPr>
                    <w:t>符合</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综上所述，项目建设符合《中华人民共和国大气污染防治法》</w:t>
            </w:r>
            <w:r>
              <w:rPr>
                <w:rFonts w:hint="eastAsia" w:ascii="Times New Roman" w:hAnsi="Times New Roman" w:eastAsia="宋体" w:cs="Times New Roman"/>
                <w:color w:val="auto"/>
                <w:sz w:val="24"/>
                <w:szCs w:val="24"/>
                <w:lang w:val="en-US" w:eastAsia="zh-CN"/>
              </w:rPr>
              <w:t>（2018修订）</w:t>
            </w:r>
            <w:r>
              <w:rPr>
                <w:rFonts w:hint="default" w:ascii="Times New Roman" w:hAnsi="Times New Roman" w:eastAsia="宋体" w:cs="Times New Roman"/>
                <w:color w:val="auto"/>
                <w:sz w:val="24"/>
                <w:szCs w:val="24"/>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4、与《国务院关于印发&lt;大气污染防治行动计划&gt;的通知》（国发[2013]37号）的相符性分析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lang w:val="en-US" w:eastAsia="zh-CN"/>
              </w:rPr>
            </w:pPr>
            <w:r>
              <w:rPr>
                <w:rFonts w:hint="default" w:ascii="Times New Roman" w:hAnsi="Times New Roman" w:eastAsia="宋体" w:cs="Times New Roman"/>
                <w:color w:val="auto"/>
                <w:sz w:val="24"/>
                <w:szCs w:val="24"/>
                <w:lang w:val="en-US" w:eastAsia="zh-CN"/>
              </w:rPr>
              <w:t>2013年6月14日，国务院召开常务会议，研究了大气污染防治的具体措施，同年9月10日，国务院下发了《国务院关于印发&lt;大气污染防治行动计划&gt;的通知》（国发[2013]37号），文件制定了大气污染防治十条措施。</w:t>
            </w:r>
          </w:p>
          <w:p>
            <w:pPr>
              <w:bidi w:val="0"/>
              <w:spacing w:line="360" w:lineRule="auto"/>
              <w:jc w:val="center"/>
              <w:rPr>
                <w:rFonts w:hint="default"/>
                <w:b/>
                <w:bCs/>
                <w:color w:val="auto"/>
                <w:lang w:val="en-US" w:eastAsia="zh-CN"/>
              </w:rPr>
            </w:pPr>
            <w:r>
              <w:rPr>
                <w:rFonts w:hint="default"/>
                <w:b/>
                <w:bCs/>
                <w:color w:val="auto"/>
                <w:lang w:val="en-US" w:eastAsia="zh-CN"/>
              </w:rPr>
              <w:t>表1-</w:t>
            </w:r>
            <w:r>
              <w:rPr>
                <w:rFonts w:hint="eastAsia"/>
                <w:b/>
                <w:bCs/>
                <w:color w:val="auto"/>
                <w:lang w:val="en-US" w:eastAsia="zh-CN"/>
              </w:rPr>
              <w:t>5</w:t>
            </w:r>
            <w:r>
              <w:rPr>
                <w:rFonts w:hint="default"/>
                <w:b/>
                <w:bCs/>
                <w:color w:val="auto"/>
                <w:lang w:val="en-US" w:eastAsia="zh-CN"/>
              </w:rPr>
              <w:t xml:space="preserve">  与国务院关于印发&lt;大气污染防治行动计划&gt;的通知相符性</w:t>
            </w:r>
          </w:p>
          <w:tbl>
            <w:tblPr>
              <w:tblStyle w:val="7"/>
              <w:tblW w:w="6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2619"/>
              <w:gridCol w:w="2892"/>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noWrap w:val="0"/>
                  <w:vAlign w:val="center"/>
                </w:tcPr>
                <w:p>
                  <w:pPr>
                    <w:bidi w:val="0"/>
                    <w:spacing w:line="240" w:lineRule="auto"/>
                    <w:jc w:val="center"/>
                    <w:rPr>
                      <w:rFonts w:hint="default"/>
                      <w:b/>
                      <w:bCs/>
                      <w:color w:val="auto"/>
                      <w:lang w:val="en-US" w:eastAsia="zh-CN"/>
                    </w:rPr>
                  </w:pPr>
                  <w:r>
                    <w:rPr>
                      <w:rFonts w:hint="default"/>
                      <w:b/>
                      <w:bCs/>
                      <w:color w:val="auto"/>
                      <w:lang w:val="en-US" w:eastAsia="zh-CN"/>
                    </w:rPr>
                    <w:t>序号</w:t>
                  </w:r>
                </w:p>
              </w:tc>
              <w:tc>
                <w:tcPr>
                  <w:tcW w:w="2619" w:type="dxa"/>
                  <w:noWrap w:val="0"/>
                  <w:vAlign w:val="center"/>
                </w:tcPr>
                <w:p>
                  <w:pPr>
                    <w:bidi w:val="0"/>
                    <w:spacing w:line="240" w:lineRule="auto"/>
                    <w:jc w:val="center"/>
                    <w:rPr>
                      <w:rFonts w:hint="default"/>
                      <w:b/>
                      <w:bCs/>
                      <w:color w:val="auto"/>
                      <w:lang w:val="en-US" w:eastAsia="zh-CN"/>
                    </w:rPr>
                  </w:pPr>
                  <w:r>
                    <w:rPr>
                      <w:rFonts w:hint="default"/>
                      <w:b/>
                      <w:bCs/>
                      <w:color w:val="auto"/>
                      <w:lang w:val="en-US" w:eastAsia="zh-CN"/>
                    </w:rPr>
                    <w:t>文件要求</w:t>
                  </w:r>
                </w:p>
              </w:tc>
              <w:tc>
                <w:tcPr>
                  <w:tcW w:w="2892" w:type="dxa"/>
                  <w:noWrap w:val="0"/>
                  <w:vAlign w:val="center"/>
                </w:tcPr>
                <w:p>
                  <w:pPr>
                    <w:bidi w:val="0"/>
                    <w:spacing w:line="240" w:lineRule="auto"/>
                    <w:jc w:val="center"/>
                    <w:rPr>
                      <w:rFonts w:hint="default"/>
                      <w:b/>
                      <w:bCs/>
                      <w:color w:val="auto"/>
                      <w:lang w:val="en-US" w:eastAsia="zh-CN"/>
                    </w:rPr>
                  </w:pPr>
                  <w:r>
                    <w:rPr>
                      <w:rFonts w:hint="default"/>
                      <w:b/>
                      <w:bCs/>
                      <w:color w:val="auto"/>
                      <w:lang w:val="en-US" w:eastAsia="zh-CN"/>
                    </w:rPr>
                    <w:t>本项目情况</w:t>
                  </w:r>
                </w:p>
              </w:tc>
              <w:tc>
                <w:tcPr>
                  <w:tcW w:w="667" w:type="dxa"/>
                  <w:noWrap w:val="0"/>
                  <w:vAlign w:val="center"/>
                </w:tcPr>
                <w:p>
                  <w:pPr>
                    <w:bidi w:val="0"/>
                    <w:spacing w:line="240" w:lineRule="auto"/>
                    <w:jc w:val="center"/>
                    <w:rPr>
                      <w:rFonts w:hint="default"/>
                      <w:b/>
                      <w:bCs/>
                      <w:color w:val="auto"/>
                      <w:lang w:val="en-US" w:eastAsia="zh-CN"/>
                    </w:rPr>
                  </w:pPr>
                  <w:r>
                    <w:rPr>
                      <w:rFonts w:hint="default"/>
                      <w:b/>
                      <w:bCs/>
                      <w:color w:val="auto"/>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noWrap w:val="0"/>
                  <w:vAlign w:val="center"/>
                </w:tcPr>
                <w:p>
                  <w:pPr>
                    <w:bidi w:val="0"/>
                    <w:spacing w:line="240" w:lineRule="auto"/>
                    <w:jc w:val="center"/>
                    <w:rPr>
                      <w:rFonts w:hint="default"/>
                      <w:color w:val="auto"/>
                      <w:lang w:val="en-US" w:eastAsia="zh-CN"/>
                    </w:rPr>
                  </w:pPr>
                  <w:r>
                    <w:rPr>
                      <w:rFonts w:hint="default"/>
                      <w:color w:val="auto"/>
                      <w:lang w:val="en-US" w:eastAsia="zh-CN"/>
                    </w:rPr>
                    <w:t>1</w:t>
                  </w:r>
                </w:p>
              </w:tc>
              <w:tc>
                <w:tcPr>
                  <w:tcW w:w="2619" w:type="dxa"/>
                  <w:noWrap w:val="0"/>
                  <w:vAlign w:val="center"/>
                </w:tcPr>
                <w:p>
                  <w:pPr>
                    <w:bidi w:val="0"/>
                    <w:spacing w:line="240" w:lineRule="auto"/>
                    <w:jc w:val="center"/>
                    <w:rPr>
                      <w:rFonts w:hint="default"/>
                      <w:color w:val="auto"/>
                      <w:lang w:val="en-US" w:eastAsia="zh-CN"/>
                    </w:rPr>
                  </w:pPr>
                  <w:r>
                    <w:rPr>
                      <w:rFonts w:hint="default"/>
                      <w:color w:val="auto"/>
                    </w:rPr>
                    <w:t>减少污染物排放。全面整治燃煤小锅炉，加快重点行业脱硫脱硝除尘改造。整治城市扬尘。</w:t>
                  </w:r>
                </w:p>
              </w:tc>
              <w:tc>
                <w:tcPr>
                  <w:tcW w:w="2892" w:type="dxa"/>
                  <w:noWrap w:val="0"/>
                  <w:vAlign w:val="center"/>
                </w:tcPr>
                <w:p>
                  <w:pPr>
                    <w:bidi w:val="0"/>
                    <w:spacing w:line="240" w:lineRule="auto"/>
                    <w:jc w:val="center"/>
                    <w:rPr>
                      <w:rFonts w:hint="default"/>
                      <w:color w:val="auto"/>
                      <w:lang w:val="en-US" w:eastAsia="zh-CN"/>
                    </w:rPr>
                  </w:pPr>
                  <w:r>
                    <w:rPr>
                      <w:rFonts w:hint="default"/>
                      <w:color w:val="auto"/>
                      <w:lang w:val="en-US" w:eastAsia="zh-CN"/>
                    </w:rPr>
                    <w:t>项目使用生物质燃</w:t>
                  </w:r>
                  <w:r>
                    <w:rPr>
                      <w:rFonts w:hint="eastAsia"/>
                      <w:color w:val="auto"/>
                      <w:lang w:val="en-US" w:eastAsia="zh-CN"/>
                    </w:rPr>
                    <w:t>料</w:t>
                  </w:r>
                  <w:r>
                    <w:rPr>
                      <w:rFonts w:hint="default"/>
                      <w:color w:val="auto"/>
                      <w:lang w:val="en-US" w:eastAsia="zh-CN"/>
                    </w:rPr>
                    <w:t>锅炉，</w:t>
                  </w:r>
                  <w:r>
                    <w:rPr>
                      <w:rFonts w:hint="eastAsia"/>
                      <w:color w:val="auto"/>
                      <w:lang w:val="en-US" w:eastAsia="zh-CN"/>
                    </w:rPr>
                    <w:t>污染物排放量减少，且</w:t>
                  </w:r>
                  <w:r>
                    <w:rPr>
                      <w:rFonts w:hint="default"/>
                      <w:color w:val="auto"/>
                      <w:lang w:val="en-US" w:eastAsia="zh-CN"/>
                    </w:rPr>
                    <w:t>产生的废气经</w:t>
                  </w:r>
                  <w:r>
                    <w:rPr>
                      <w:rFonts w:hint="eastAsia"/>
                      <w:color w:val="auto"/>
                      <w:lang w:val="en-US" w:eastAsia="zh-CN"/>
                    </w:rPr>
                    <w:t>水膜除尘器</w:t>
                  </w:r>
                  <w:r>
                    <w:rPr>
                      <w:rFonts w:hint="default"/>
                      <w:color w:val="auto"/>
                      <w:lang w:val="en-US" w:eastAsia="zh-CN"/>
                    </w:rPr>
                    <w:t>处理达标后，经</w:t>
                  </w:r>
                  <w:r>
                    <w:rPr>
                      <w:rFonts w:hint="eastAsia"/>
                      <w:color w:val="auto"/>
                      <w:lang w:val="en-US" w:eastAsia="zh-CN"/>
                    </w:rPr>
                    <w:t>1根30</w:t>
                  </w:r>
                  <w:r>
                    <w:rPr>
                      <w:rFonts w:hint="default"/>
                      <w:color w:val="auto"/>
                      <w:lang w:val="en-US" w:eastAsia="zh-CN"/>
                    </w:rPr>
                    <w:t>m高排气筒排放，对周围环境影响较小。</w:t>
                  </w:r>
                </w:p>
              </w:tc>
              <w:tc>
                <w:tcPr>
                  <w:tcW w:w="667" w:type="dxa"/>
                  <w:noWrap w:val="0"/>
                  <w:vAlign w:val="center"/>
                </w:tcPr>
                <w:p>
                  <w:pPr>
                    <w:bidi w:val="0"/>
                    <w:spacing w:line="240" w:lineRule="auto"/>
                    <w:jc w:val="center"/>
                    <w:rPr>
                      <w:rFonts w:hint="default"/>
                      <w:color w:val="auto"/>
                      <w:lang w:val="en-US" w:eastAsia="zh-CN"/>
                    </w:rPr>
                  </w:pPr>
                  <w:r>
                    <w:rPr>
                      <w:rFonts w:hint="default"/>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noWrap w:val="0"/>
                  <w:vAlign w:val="center"/>
                </w:tcPr>
                <w:p>
                  <w:pPr>
                    <w:bidi w:val="0"/>
                    <w:spacing w:line="240" w:lineRule="auto"/>
                    <w:jc w:val="center"/>
                    <w:rPr>
                      <w:rFonts w:hint="default"/>
                      <w:color w:val="auto"/>
                      <w:lang w:val="en-US" w:eastAsia="zh-CN"/>
                    </w:rPr>
                  </w:pPr>
                  <w:r>
                    <w:rPr>
                      <w:rFonts w:hint="default"/>
                      <w:color w:val="auto"/>
                      <w:lang w:val="en-US" w:eastAsia="zh-CN"/>
                    </w:rPr>
                    <w:t>2</w:t>
                  </w:r>
                </w:p>
              </w:tc>
              <w:tc>
                <w:tcPr>
                  <w:tcW w:w="2619" w:type="dxa"/>
                  <w:noWrap w:val="0"/>
                  <w:vAlign w:val="center"/>
                </w:tcPr>
                <w:p>
                  <w:pPr>
                    <w:bidi w:val="0"/>
                    <w:spacing w:line="240" w:lineRule="auto"/>
                    <w:jc w:val="center"/>
                    <w:rPr>
                      <w:rFonts w:hint="eastAsia" w:eastAsiaTheme="minorEastAsia"/>
                      <w:color w:val="auto"/>
                      <w:lang w:val="en-US" w:eastAsia="zh-CN"/>
                    </w:rPr>
                  </w:pPr>
                  <w:r>
                    <w:rPr>
                      <w:rFonts w:hint="eastAsia"/>
                      <w:color w:val="auto"/>
                      <w:lang w:eastAsia="zh-CN"/>
                    </w:rPr>
                    <w:t>调整优化产业结构，推动产业转型升级。严控高耗能、高污染行业新增产能。修订高耗能、高污染和资源性行业准入条件。</w:t>
                  </w:r>
                </w:p>
              </w:tc>
              <w:tc>
                <w:tcPr>
                  <w:tcW w:w="2892" w:type="dxa"/>
                  <w:noWrap w:val="0"/>
                  <w:vAlign w:val="center"/>
                </w:tcPr>
                <w:p>
                  <w:pPr>
                    <w:bidi w:val="0"/>
                    <w:spacing w:line="240" w:lineRule="auto"/>
                    <w:jc w:val="center"/>
                    <w:rPr>
                      <w:rFonts w:hint="default"/>
                      <w:color w:val="auto"/>
                      <w:lang w:val="en-US" w:eastAsia="zh-CN"/>
                    </w:rPr>
                  </w:pPr>
                  <w:r>
                    <w:rPr>
                      <w:rFonts w:hint="default"/>
                      <w:color w:val="auto"/>
                      <w:lang w:eastAsia="zh-CN"/>
                    </w:rPr>
                    <w:t>项目不属于高耗能，高污染行业</w:t>
                  </w:r>
                  <w:r>
                    <w:rPr>
                      <w:rFonts w:hint="default"/>
                      <w:color w:val="auto"/>
                    </w:rPr>
                    <w:t>。</w:t>
                  </w:r>
                </w:p>
              </w:tc>
              <w:tc>
                <w:tcPr>
                  <w:tcW w:w="667" w:type="dxa"/>
                  <w:noWrap w:val="0"/>
                  <w:vAlign w:val="center"/>
                </w:tcPr>
                <w:p>
                  <w:pPr>
                    <w:bidi w:val="0"/>
                    <w:spacing w:line="240" w:lineRule="auto"/>
                    <w:jc w:val="center"/>
                    <w:rPr>
                      <w:rFonts w:hint="default"/>
                      <w:color w:val="auto"/>
                      <w:lang w:val="en-US" w:eastAsia="zh-CN"/>
                    </w:rPr>
                  </w:pPr>
                  <w:r>
                    <w:rPr>
                      <w:rFonts w:hint="default"/>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561" w:type="dxa"/>
                  <w:noWrap w:val="0"/>
                  <w:vAlign w:val="center"/>
                </w:tcPr>
                <w:p>
                  <w:pPr>
                    <w:bidi w:val="0"/>
                    <w:spacing w:line="240" w:lineRule="auto"/>
                    <w:jc w:val="center"/>
                    <w:rPr>
                      <w:rFonts w:hint="default"/>
                      <w:color w:val="auto"/>
                      <w:lang w:val="en-US" w:eastAsia="zh-CN"/>
                    </w:rPr>
                  </w:pPr>
                  <w:r>
                    <w:rPr>
                      <w:rFonts w:hint="default"/>
                      <w:color w:val="auto"/>
                      <w:lang w:val="en-US" w:eastAsia="zh-CN"/>
                    </w:rPr>
                    <w:t>3</w:t>
                  </w:r>
                </w:p>
              </w:tc>
              <w:tc>
                <w:tcPr>
                  <w:tcW w:w="2619" w:type="dxa"/>
                  <w:noWrap w:val="0"/>
                  <w:vAlign w:val="center"/>
                </w:tcPr>
                <w:p>
                  <w:pPr>
                    <w:bidi w:val="0"/>
                    <w:spacing w:line="240" w:lineRule="auto"/>
                    <w:jc w:val="center"/>
                    <w:rPr>
                      <w:rFonts w:hint="eastAsia" w:eastAsiaTheme="minorEastAsia"/>
                      <w:color w:val="auto"/>
                      <w:lang w:val="en-US" w:eastAsia="zh-CN"/>
                    </w:rPr>
                  </w:pPr>
                  <w:r>
                    <w:rPr>
                      <w:rFonts w:hint="eastAsia"/>
                      <w:color w:val="auto"/>
                      <w:lang w:eastAsia="zh-CN"/>
                    </w:rPr>
                    <w:t>加快企业技术改造，提高科技创新能力。大力推行清洁生产，大力发展循环经济。</w:t>
                  </w:r>
                </w:p>
              </w:tc>
              <w:tc>
                <w:tcPr>
                  <w:tcW w:w="2892" w:type="dxa"/>
                  <w:noWrap w:val="0"/>
                  <w:vAlign w:val="center"/>
                </w:tcPr>
                <w:p>
                  <w:pPr>
                    <w:bidi w:val="0"/>
                    <w:spacing w:line="240" w:lineRule="auto"/>
                    <w:jc w:val="center"/>
                    <w:rPr>
                      <w:rFonts w:hint="default"/>
                      <w:color w:val="auto"/>
                      <w:lang w:val="en-US" w:eastAsia="zh-CN"/>
                    </w:rPr>
                  </w:pPr>
                  <w:r>
                    <w:rPr>
                      <w:rFonts w:hint="eastAsia"/>
                      <w:color w:val="auto"/>
                      <w:lang w:val="en-US" w:eastAsia="zh-CN"/>
                    </w:rPr>
                    <w:t>项目采用国内先进生产工艺，生产设备使用电能，使用节能降噪设备。</w:t>
                  </w:r>
                </w:p>
              </w:tc>
              <w:tc>
                <w:tcPr>
                  <w:tcW w:w="667" w:type="dxa"/>
                  <w:noWrap w:val="0"/>
                  <w:vAlign w:val="center"/>
                </w:tcPr>
                <w:p>
                  <w:pPr>
                    <w:bidi w:val="0"/>
                    <w:spacing w:line="240" w:lineRule="auto"/>
                    <w:jc w:val="center"/>
                    <w:rPr>
                      <w:rFonts w:hint="default"/>
                      <w:color w:val="auto"/>
                      <w:lang w:val="en-US" w:eastAsia="zh-CN"/>
                    </w:rPr>
                  </w:pPr>
                  <w:r>
                    <w:rPr>
                      <w:rFonts w:hint="default"/>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noWrap w:val="0"/>
                  <w:vAlign w:val="center"/>
                </w:tcPr>
                <w:p>
                  <w:pPr>
                    <w:bidi w:val="0"/>
                    <w:spacing w:line="240" w:lineRule="auto"/>
                    <w:jc w:val="center"/>
                    <w:rPr>
                      <w:rFonts w:hint="default"/>
                      <w:color w:val="auto"/>
                      <w:lang w:val="en-US" w:eastAsia="zh-CN"/>
                    </w:rPr>
                  </w:pPr>
                  <w:r>
                    <w:rPr>
                      <w:rFonts w:hint="default"/>
                      <w:color w:val="auto"/>
                      <w:lang w:val="en-US" w:eastAsia="zh-CN"/>
                    </w:rPr>
                    <w:t>4</w:t>
                  </w:r>
                </w:p>
              </w:tc>
              <w:tc>
                <w:tcPr>
                  <w:tcW w:w="2619" w:type="dxa"/>
                  <w:noWrap w:val="0"/>
                  <w:vAlign w:val="center"/>
                </w:tcPr>
                <w:p>
                  <w:pPr>
                    <w:bidi w:val="0"/>
                    <w:spacing w:line="240" w:lineRule="auto"/>
                    <w:jc w:val="center"/>
                    <w:rPr>
                      <w:rFonts w:hint="eastAsia" w:eastAsiaTheme="minorEastAsia"/>
                      <w:color w:val="auto"/>
                      <w:lang w:val="en-US" w:eastAsia="zh-CN"/>
                    </w:rPr>
                  </w:pPr>
                  <w:r>
                    <w:rPr>
                      <w:rFonts w:hint="eastAsia"/>
                      <w:color w:val="auto"/>
                      <w:lang w:eastAsia="zh-CN"/>
                    </w:rPr>
                    <w:t>严格节能环保准入，优化产业空间布局。对未通过能评、环评的项目，不得批准开工建设，不得提供土地，不得提供贷款支持，不得供电供水。</w:t>
                  </w:r>
                </w:p>
              </w:tc>
              <w:tc>
                <w:tcPr>
                  <w:tcW w:w="2892" w:type="dxa"/>
                  <w:noWrap w:val="0"/>
                  <w:vAlign w:val="center"/>
                </w:tcPr>
                <w:p>
                  <w:pPr>
                    <w:bidi w:val="0"/>
                    <w:spacing w:line="240" w:lineRule="auto"/>
                    <w:jc w:val="center"/>
                    <w:rPr>
                      <w:rFonts w:hint="default"/>
                      <w:color w:val="auto"/>
                      <w:lang w:val="en-US" w:eastAsia="zh-CN"/>
                    </w:rPr>
                  </w:pPr>
                  <w:r>
                    <w:rPr>
                      <w:rFonts w:hint="eastAsia"/>
                      <w:color w:val="auto"/>
                      <w:lang w:val="en-US" w:eastAsia="zh-CN"/>
                    </w:rPr>
                    <w:t>对照《产业结构调整指导目录（2024年本）》，项目不属于其中规定的淘汰、限制类建设项目。项目正在办理环保手续。</w:t>
                  </w:r>
                </w:p>
              </w:tc>
              <w:tc>
                <w:tcPr>
                  <w:tcW w:w="667" w:type="dxa"/>
                  <w:noWrap w:val="0"/>
                  <w:vAlign w:val="center"/>
                </w:tcPr>
                <w:p>
                  <w:pPr>
                    <w:bidi w:val="0"/>
                    <w:spacing w:line="240" w:lineRule="auto"/>
                    <w:jc w:val="center"/>
                    <w:rPr>
                      <w:rFonts w:hint="default"/>
                      <w:color w:val="auto"/>
                      <w:lang w:val="en-US" w:eastAsia="zh-CN"/>
                    </w:rPr>
                  </w:pPr>
                  <w:r>
                    <w:rPr>
                      <w:rFonts w:hint="default"/>
                      <w:color w:val="auto"/>
                      <w:lang w:val="en-US" w:eastAsia="zh-CN"/>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综上所述，项目建设符合《国务院关于印发&lt;大气污染防治行动计划&gt;的通知》（国发[2013]37号）的相关要求。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5、与《云南省打赢蓝天保卫战三年行动实施方案》（云政发[2018]44号）符合性分析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2018年9月11日云南省人民政府发布了《云南省打赢蓝天保卫战三年行动实施方案》（云政发[2018]44号），本项目与该方案的符合性分析如下：</w:t>
            </w:r>
          </w:p>
          <w:p>
            <w:pPr>
              <w:bidi w:val="0"/>
              <w:jc w:val="center"/>
              <w:rPr>
                <w:rFonts w:hint="default"/>
                <w:b/>
                <w:bCs/>
                <w:color w:val="auto"/>
                <w:lang w:val="en-US" w:eastAsia="zh-CN"/>
              </w:rPr>
            </w:pPr>
            <w:r>
              <w:rPr>
                <w:rFonts w:hint="default"/>
                <w:b/>
                <w:bCs/>
                <w:color w:val="auto"/>
                <w:lang w:val="en-US" w:eastAsia="zh-CN"/>
              </w:rPr>
              <w:t>表1-</w:t>
            </w:r>
            <w:r>
              <w:rPr>
                <w:rFonts w:hint="eastAsia"/>
                <w:b/>
                <w:bCs/>
                <w:color w:val="auto"/>
                <w:lang w:val="en-US" w:eastAsia="zh-CN"/>
              </w:rPr>
              <w:t>6</w:t>
            </w:r>
            <w:r>
              <w:rPr>
                <w:rFonts w:hint="default"/>
                <w:b/>
                <w:bCs/>
                <w:color w:val="auto"/>
                <w:lang w:val="en-US" w:eastAsia="zh-CN"/>
              </w:rPr>
              <w:t xml:space="preserve">  项目与云政发[2018]44号符合性</w:t>
            </w:r>
          </w:p>
          <w:tbl>
            <w:tblPr>
              <w:tblStyle w:val="7"/>
              <w:tblW w:w="6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701"/>
              <w:gridCol w:w="3339"/>
              <w:gridCol w:w="1390"/>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3" w:type="dxa"/>
                  <w:vAlign w:val="center"/>
                </w:tcPr>
                <w:p>
                  <w:pPr>
                    <w:bidi w:val="0"/>
                    <w:jc w:val="center"/>
                    <w:rPr>
                      <w:rFonts w:hint="default"/>
                      <w:b/>
                      <w:bCs/>
                      <w:color w:val="auto"/>
                      <w:lang w:val="en-US" w:eastAsia="zh-CN"/>
                    </w:rPr>
                  </w:pPr>
                  <w:r>
                    <w:rPr>
                      <w:rFonts w:hint="default"/>
                      <w:b/>
                      <w:bCs/>
                      <w:color w:val="auto"/>
                      <w:lang w:val="en-US" w:eastAsia="zh-CN"/>
                    </w:rPr>
                    <w:t>序号</w:t>
                  </w:r>
                </w:p>
              </w:tc>
              <w:tc>
                <w:tcPr>
                  <w:tcW w:w="4040" w:type="dxa"/>
                  <w:gridSpan w:val="2"/>
                  <w:vAlign w:val="center"/>
                </w:tcPr>
                <w:p>
                  <w:pPr>
                    <w:bidi w:val="0"/>
                    <w:jc w:val="center"/>
                    <w:rPr>
                      <w:rFonts w:hint="default"/>
                      <w:b/>
                      <w:bCs/>
                      <w:color w:val="auto"/>
                      <w:lang w:val="en-US" w:eastAsia="zh-CN"/>
                    </w:rPr>
                  </w:pPr>
                  <w:r>
                    <w:rPr>
                      <w:rFonts w:hint="default"/>
                      <w:b/>
                      <w:bCs/>
                      <w:color w:val="auto"/>
                      <w:lang w:val="en-US" w:eastAsia="zh-CN"/>
                    </w:rPr>
                    <w:t>实施方案相关内容</w:t>
                  </w:r>
                </w:p>
              </w:tc>
              <w:tc>
                <w:tcPr>
                  <w:tcW w:w="1390" w:type="dxa"/>
                  <w:vAlign w:val="center"/>
                </w:tcPr>
                <w:p>
                  <w:pPr>
                    <w:bidi w:val="0"/>
                    <w:jc w:val="center"/>
                    <w:rPr>
                      <w:rFonts w:hint="default"/>
                      <w:b/>
                      <w:bCs/>
                      <w:color w:val="auto"/>
                      <w:lang w:val="en-US" w:eastAsia="zh-CN"/>
                    </w:rPr>
                  </w:pPr>
                  <w:r>
                    <w:rPr>
                      <w:rFonts w:hint="default"/>
                      <w:b/>
                      <w:bCs/>
                      <w:color w:val="auto"/>
                      <w:lang w:val="en-US" w:eastAsia="zh-CN"/>
                    </w:rPr>
                    <w:t>建设项目情况</w:t>
                  </w:r>
                </w:p>
              </w:tc>
              <w:tc>
                <w:tcPr>
                  <w:tcW w:w="719" w:type="dxa"/>
                  <w:vAlign w:val="center"/>
                </w:tcPr>
                <w:p>
                  <w:pPr>
                    <w:bidi w:val="0"/>
                    <w:jc w:val="center"/>
                    <w:rPr>
                      <w:rFonts w:hint="default"/>
                      <w:b/>
                      <w:bCs/>
                      <w:color w:val="auto"/>
                      <w:lang w:val="en-US" w:eastAsia="zh-CN"/>
                    </w:rPr>
                  </w:pPr>
                  <w:r>
                    <w:rPr>
                      <w:rFonts w:hint="default"/>
                      <w:b/>
                      <w:bCs/>
                      <w:color w:val="auto"/>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3" w:type="dxa"/>
                  <w:vAlign w:val="center"/>
                </w:tcPr>
                <w:p>
                  <w:pPr>
                    <w:bidi w:val="0"/>
                    <w:jc w:val="center"/>
                    <w:rPr>
                      <w:rFonts w:hint="default"/>
                      <w:color w:val="auto"/>
                      <w:lang w:val="en-US" w:eastAsia="zh-CN"/>
                    </w:rPr>
                  </w:pPr>
                  <w:r>
                    <w:rPr>
                      <w:rFonts w:hint="default"/>
                      <w:color w:val="auto"/>
                      <w:lang w:val="en-US" w:eastAsia="zh-CN"/>
                    </w:rPr>
                    <w:t>1</w:t>
                  </w:r>
                </w:p>
              </w:tc>
              <w:tc>
                <w:tcPr>
                  <w:tcW w:w="701" w:type="dxa"/>
                  <w:vAlign w:val="center"/>
                </w:tcPr>
                <w:p>
                  <w:pPr>
                    <w:bidi w:val="0"/>
                    <w:jc w:val="center"/>
                    <w:rPr>
                      <w:rFonts w:hint="default"/>
                      <w:color w:val="auto"/>
                      <w:lang w:val="en-US" w:eastAsia="zh-CN"/>
                    </w:rPr>
                  </w:pPr>
                  <w:r>
                    <w:rPr>
                      <w:rFonts w:hint="default"/>
                      <w:color w:val="auto"/>
                      <w:lang w:val="en-US" w:eastAsia="zh-CN"/>
                    </w:rPr>
                    <w:t>一、优化产业布局</w:t>
                  </w:r>
                </w:p>
              </w:tc>
              <w:tc>
                <w:tcPr>
                  <w:tcW w:w="3339" w:type="dxa"/>
                  <w:vAlign w:val="center"/>
                </w:tcPr>
                <w:p>
                  <w:pPr>
                    <w:bidi w:val="0"/>
                    <w:jc w:val="center"/>
                    <w:rPr>
                      <w:rFonts w:hint="default"/>
                      <w:color w:val="auto"/>
                      <w:lang w:val="en-US" w:eastAsia="zh-CN"/>
                    </w:rPr>
                  </w:pPr>
                  <w:r>
                    <w:rPr>
                      <w:rFonts w:hint="default"/>
                      <w:color w:val="auto"/>
                      <w:lang w:val="en-US" w:eastAsia="zh-CN"/>
                    </w:rPr>
                    <w:t>优化产业布局。完成生态保护红线、环境质量底线、资源利用上线、环境准入清单编制工作，明确禁止和限制发展的行业、生产工艺和产业目录。修订完善高耗能、高污染和资源型行业准入条件，制订更严格的产业准入门槛。积极推行区域、规划环境影响评价，新、改、扩建钢铁、石化、化工、焦化、建材、有色等项目的环境影响评价，应满足区域、规划环评要求。加大区域产业布局调整力度。</w:t>
                  </w:r>
                </w:p>
              </w:tc>
              <w:tc>
                <w:tcPr>
                  <w:tcW w:w="1390" w:type="dxa"/>
                  <w:vAlign w:val="center"/>
                </w:tcPr>
                <w:p>
                  <w:pPr>
                    <w:bidi w:val="0"/>
                    <w:jc w:val="center"/>
                    <w:rPr>
                      <w:rFonts w:hint="default"/>
                      <w:color w:val="auto"/>
                      <w:lang w:val="en-US" w:eastAsia="zh-CN"/>
                    </w:rPr>
                  </w:pPr>
                  <w:r>
                    <w:rPr>
                      <w:rFonts w:hint="eastAsia"/>
                      <w:color w:val="auto"/>
                      <w:lang w:val="en-US" w:eastAsia="zh-CN"/>
                    </w:rPr>
                    <w:t>项目位于洱源县牛街乡太平村，项目不涉及生态保护红线，不涉及上述行业。</w:t>
                  </w:r>
                </w:p>
              </w:tc>
              <w:tc>
                <w:tcPr>
                  <w:tcW w:w="719" w:type="dxa"/>
                  <w:vAlign w:val="center"/>
                </w:tcPr>
                <w:p>
                  <w:pPr>
                    <w:bidi w:val="0"/>
                    <w:jc w:val="center"/>
                    <w:rPr>
                      <w:rFonts w:hint="default"/>
                      <w:color w:val="auto"/>
                      <w:lang w:val="en-US" w:eastAsia="zh-CN"/>
                    </w:rPr>
                  </w:pPr>
                  <w:r>
                    <w:rPr>
                      <w:rFonts w:hint="default"/>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3" w:type="dxa"/>
                  <w:vAlign w:val="center"/>
                </w:tcPr>
                <w:p>
                  <w:pPr>
                    <w:bidi w:val="0"/>
                    <w:jc w:val="center"/>
                    <w:rPr>
                      <w:rFonts w:hint="default"/>
                      <w:color w:val="auto"/>
                      <w:lang w:val="en-US" w:eastAsia="zh-CN"/>
                    </w:rPr>
                  </w:pPr>
                  <w:r>
                    <w:rPr>
                      <w:rFonts w:hint="default"/>
                      <w:color w:val="auto"/>
                      <w:lang w:val="en-US" w:eastAsia="zh-CN"/>
                    </w:rPr>
                    <w:t>2</w:t>
                  </w:r>
                </w:p>
              </w:tc>
              <w:tc>
                <w:tcPr>
                  <w:tcW w:w="701" w:type="dxa"/>
                  <w:vAlign w:val="center"/>
                </w:tcPr>
                <w:p>
                  <w:pPr>
                    <w:bidi w:val="0"/>
                    <w:jc w:val="center"/>
                    <w:rPr>
                      <w:rFonts w:hint="default"/>
                      <w:color w:val="auto"/>
                      <w:lang w:val="en-US" w:eastAsia="zh-CN"/>
                    </w:rPr>
                  </w:pPr>
                  <w:r>
                    <w:rPr>
                      <w:rFonts w:hint="default"/>
                      <w:color w:val="auto"/>
                      <w:lang w:val="en-US" w:eastAsia="zh-CN"/>
                    </w:rPr>
                    <w:t>二、严控“两高”行业产能</w:t>
                  </w:r>
                </w:p>
              </w:tc>
              <w:tc>
                <w:tcPr>
                  <w:tcW w:w="3339" w:type="dxa"/>
                  <w:vAlign w:val="center"/>
                </w:tcPr>
                <w:p>
                  <w:pPr>
                    <w:bidi w:val="0"/>
                    <w:jc w:val="center"/>
                    <w:rPr>
                      <w:rFonts w:hint="default"/>
                      <w:color w:val="auto"/>
                      <w:lang w:val="en-US" w:eastAsia="zh-CN"/>
                    </w:rPr>
                  </w:pPr>
                  <w:r>
                    <w:rPr>
                      <w:rFonts w:hint="default"/>
                      <w:color w:val="auto"/>
                      <w:lang w:val="en-US" w:eastAsia="zh-CN"/>
                    </w:rPr>
                    <w:t>严格执行钢铁、水泥、平板玻璃等行业产能置换实施办法。加大落后产能淘汰和过剩产能压减力度。严格执行质量、环保、能耗、安全等法规标准，落实国家《产业结构调整指导目录》。严防“地条钢”死灰复燃。列入去产能计划的钢铁企业，需一并退出配套的烧结、焦炉、高炉等设备。</w:t>
                  </w:r>
                </w:p>
              </w:tc>
              <w:tc>
                <w:tcPr>
                  <w:tcW w:w="1390" w:type="dxa"/>
                  <w:vAlign w:val="center"/>
                </w:tcPr>
                <w:p>
                  <w:pPr>
                    <w:bidi w:val="0"/>
                    <w:jc w:val="center"/>
                    <w:rPr>
                      <w:rFonts w:hint="default"/>
                      <w:color w:val="auto"/>
                      <w:lang w:val="en-US" w:eastAsia="zh-CN"/>
                    </w:rPr>
                  </w:pPr>
                  <w:r>
                    <w:rPr>
                      <w:rFonts w:hint="eastAsia"/>
                      <w:color w:val="auto"/>
                      <w:lang w:val="en-US" w:eastAsia="zh-CN"/>
                    </w:rPr>
                    <w:t>项目不涉及上述行业</w:t>
                  </w:r>
                </w:p>
              </w:tc>
              <w:tc>
                <w:tcPr>
                  <w:tcW w:w="719" w:type="dxa"/>
                  <w:vAlign w:val="center"/>
                </w:tcPr>
                <w:p>
                  <w:pPr>
                    <w:bidi w:val="0"/>
                    <w:jc w:val="center"/>
                    <w:rPr>
                      <w:rFonts w:hint="default"/>
                      <w:color w:val="auto"/>
                      <w:lang w:val="en-US" w:eastAsia="zh-CN"/>
                    </w:rPr>
                  </w:pPr>
                  <w:r>
                    <w:rPr>
                      <w:rFonts w:hint="default"/>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3" w:type="dxa"/>
                  <w:vAlign w:val="center"/>
                </w:tcPr>
                <w:p>
                  <w:pPr>
                    <w:bidi w:val="0"/>
                    <w:jc w:val="center"/>
                    <w:rPr>
                      <w:rFonts w:hint="default"/>
                      <w:color w:val="auto"/>
                      <w:lang w:val="en-US" w:eastAsia="zh-CN"/>
                    </w:rPr>
                  </w:pPr>
                  <w:r>
                    <w:rPr>
                      <w:rFonts w:hint="default"/>
                      <w:color w:val="auto"/>
                      <w:lang w:val="en-US" w:eastAsia="zh-CN"/>
                    </w:rPr>
                    <w:t>3</w:t>
                  </w:r>
                </w:p>
              </w:tc>
              <w:tc>
                <w:tcPr>
                  <w:tcW w:w="701" w:type="dxa"/>
                  <w:vAlign w:val="center"/>
                </w:tcPr>
                <w:p>
                  <w:pPr>
                    <w:bidi w:val="0"/>
                    <w:jc w:val="center"/>
                    <w:rPr>
                      <w:rFonts w:hint="default"/>
                      <w:color w:val="auto"/>
                      <w:lang w:val="en-US" w:eastAsia="zh-CN"/>
                    </w:rPr>
                  </w:pPr>
                  <w:r>
                    <w:rPr>
                      <w:rFonts w:hint="default"/>
                      <w:color w:val="auto"/>
                      <w:lang w:val="en-US" w:eastAsia="zh-CN"/>
                    </w:rPr>
                    <w:t>三、强化“散乱污”企业综合整治</w:t>
                  </w:r>
                </w:p>
              </w:tc>
              <w:tc>
                <w:tcPr>
                  <w:tcW w:w="3339" w:type="dxa"/>
                  <w:vAlign w:val="center"/>
                </w:tcPr>
                <w:p>
                  <w:pPr>
                    <w:bidi w:val="0"/>
                    <w:jc w:val="center"/>
                    <w:rPr>
                      <w:rFonts w:hint="default"/>
                      <w:color w:val="auto"/>
                      <w:lang w:val="en-US" w:eastAsia="zh-CN"/>
                    </w:rPr>
                  </w:pPr>
                  <w:r>
                    <w:rPr>
                      <w:rFonts w:hint="default"/>
                      <w:color w:val="auto"/>
                      <w:lang w:val="en-US" w:eastAsia="zh-CN"/>
                    </w:rPr>
                    <w:t>全面开展“散乱污”企业及集群综合整治行动。根据产业政策、产业布局规划，以及土地、环保、质量、安全、能耗等要求，制定“散乱污”企业及集群整治方案。实行拉网式排查，建立管理台账。按照“先停后治”的原则，实施分类处置。列入关停取缔类的，基本做到“两断三清”（切断工业用水、用电，清除原料、产品、生产设备）；列入整合搬迁类的，要按照产业发展规模化、现代化的原则，搬迁至工业园区并实施升级改造；列入升级改造类的，树立行业标杆，实施清洁生产技术改造，全面提升污染治理水平。建立“散乱污”企业动态管理机制，坚决杜绝“散乱污”企业项目建设和已取缔的“散乱污”企业异地转移、死灰复燃。全州2019年底前完成。</w:t>
                  </w:r>
                </w:p>
              </w:tc>
              <w:tc>
                <w:tcPr>
                  <w:tcW w:w="1390" w:type="dxa"/>
                  <w:vAlign w:val="center"/>
                </w:tcPr>
                <w:p>
                  <w:pPr>
                    <w:bidi w:val="0"/>
                    <w:jc w:val="center"/>
                    <w:rPr>
                      <w:rFonts w:hint="default"/>
                      <w:color w:val="auto"/>
                      <w:lang w:val="en-US" w:eastAsia="zh-CN"/>
                    </w:rPr>
                  </w:pPr>
                  <w:r>
                    <w:rPr>
                      <w:rFonts w:hint="eastAsia"/>
                      <w:color w:val="auto"/>
                      <w:lang w:val="en-US" w:eastAsia="zh-CN"/>
                    </w:rPr>
                    <w:t>项目为酒店布草洗涤，不属于“散乱污”企业综合整治内容</w:t>
                  </w:r>
                </w:p>
              </w:tc>
              <w:tc>
                <w:tcPr>
                  <w:tcW w:w="719" w:type="dxa"/>
                  <w:vAlign w:val="center"/>
                </w:tcPr>
                <w:p>
                  <w:pPr>
                    <w:bidi w:val="0"/>
                    <w:jc w:val="center"/>
                    <w:rPr>
                      <w:rFonts w:hint="default"/>
                      <w:color w:val="auto"/>
                      <w:lang w:val="en-US" w:eastAsia="zh-CN"/>
                    </w:rPr>
                  </w:pPr>
                  <w:r>
                    <w:rPr>
                      <w:rFonts w:hint="default"/>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3" w:type="dxa"/>
                  <w:vMerge w:val="restart"/>
                  <w:vAlign w:val="center"/>
                </w:tcPr>
                <w:p>
                  <w:pPr>
                    <w:bidi w:val="0"/>
                    <w:jc w:val="center"/>
                    <w:rPr>
                      <w:rFonts w:hint="default"/>
                      <w:color w:val="auto"/>
                      <w:lang w:val="en-US" w:eastAsia="zh-CN"/>
                    </w:rPr>
                  </w:pPr>
                  <w:r>
                    <w:rPr>
                      <w:rFonts w:hint="default"/>
                      <w:color w:val="auto"/>
                      <w:lang w:val="en-US" w:eastAsia="zh-CN"/>
                    </w:rPr>
                    <w:t>4</w:t>
                  </w:r>
                </w:p>
              </w:tc>
              <w:tc>
                <w:tcPr>
                  <w:tcW w:w="701" w:type="dxa"/>
                  <w:vMerge w:val="restart"/>
                  <w:vAlign w:val="center"/>
                </w:tcPr>
                <w:p>
                  <w:pPr>
                    <w:bidi w:val="0"/>
                    <w:jc w:val="center"/>
                    <w:rPr>
                      <w:rFonts w:hint="default"/>
                      <w:color w:val="auto"/>
                      <w:lang w:val="en-US" w:eastAsia="zh-CN"/>
                    </w:rPr>
                  </w:pPr>
                  <w:r>
                    <w:rPr>
                      <w:rFonts w:hint="default"/>
                      <w:color w:val="auto"/>
                      <w:lang w:val="en-US" w:eastAsia="zh-CN"/>
                    </w:rPr>
                    <w:t>深化工业污染治理</w:t>
                  </w:r>
                </w:p>
              </w:tc>
              <w:tc>
                <w:tcPr>
                  <w:tcW w:w="3339" w:type="dxa"/>
                  <w:vAlign w:val="center"/>
                </w:tcPr>
                <w:p>
                  <w:pPr>
                    <w:bidi w:val="0"/>
                    <w:jc w:val="center"/>
                    <w:rPr>
                      <w:rFonts w:hint="default"/>
                      <w:color w:val="auto"/>
                      <w:lang w:val="en-US" w:eastAsia="zh-CN"/>
                    </w:rPr>
                  </w:pPr>
                  <w:r>
                    <w:rPr>
                      <w:rFonts w:hint="default"/>
                      <w:color w:val="auto"/>
                      <w:lang w:val="en-US" w:eastAsia="zh-CN"/>
                    </w:rPr>
                    <w:t>持续推进工业污染源全面达标排放，将烟气在线监测数据作为执法依据，加大超标处罚和联合惩戒力度，未达标排放的企业一律依法停产整治。建立覆盖所有固定污染源的企业排放许可制度，2020年底前，完成污染源分类管理名录规定的行业许可证核发。</w:t>
                  </w:r>
                </w:p>
              </w:tc>
              <w:tc>
                <w:tcPr>
                  <w:tcW w:w="1390" w:type="dxa"/>
                  <w:vAlign w:val="center"/>
                </w:tcPr>
                <w:p>
                  <w:pPr>
                    <w:bidi w:val="0"/>
                    <w:jc w:val="center"/>
                    <w:rPr>
                      <w:rFonts w:hint="default"/>
                      <w:color w:val="auto"/>
                      <w:lang w:val="en-US" w:eastAsia="zh-CN"/>
                    </w:rPr>
                  </w:pPr>
                  <w:r>
                    <w:rPr>
                      <w:rFonts w:hint="eastAsia"/>
                      <w:color w:val="auto"/>
                      <w:lang w:val="en-US" w:eastAsia="zh-CN"/>
                    </w:rPr>
                    <w:t>项目属于新建，待项目通过环评审批后，按照固定污染源企业排放许可制度，申请排污许可证</w:t>
                  </w:r>
                </w:p>
              </w:tc>
              <w:tc>
                <w:tcPr>
                  <w:tcW w:w="719" w:type="dxa"/>
                  <w:vAlign w:val="center"/>
                </w:tcPr>
                <w:p>
                  <w:pPr>
                    <w:bidi w:val="0"/>
                    <w:jc w:val="center"/>
                    <w:rPr>
                      <w:rFonts w:hint="default"/>
                      <w:color w:val="auto"/>
                      <w:lang w:val="en-US" w:eastAsia="zh-CN"/>
                    </w:rPr>
                  </w:pPr>
                  <w:r>
                    <w:rPr>
                      <w:rFonts w:hint="default"/>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3" w:type="dxa"/>
                  <w:vMerge w:val="continue"/>
                  <w:vAlign w:val="center"/>
                </w:tcPr>
                <w:p>
                  <w:pPr>
                    <w:bidi w:val="0"/>
                    <w:jc w:val="center"/>
                    <w:rPr>
                      <w:rFonts w:hint="default"/>
                      <w:color w:val="auto"/>
                      <w:lang w:val="en-US" w:eastAsia="zh-CN"/>
                    </w:rPr>
                  </w:pPr>
                </w:p>
              </w:tc>
              <w:tc>
                <w:tcPr>
                  <w:tcW w:w="701" w:type="dxa"/>
                  <w:vMerge w:val="continue"/>
                  <w:vAlign w:val="center"/>
                </w:tcPr>
                <w:p>
                  <w:pPr>
                    <w:bidi w:val="0"/>
                    <w:jc w:val="center"/>
                    <w:rPr>
                      <w:rFonts w:hint="default"/>
                      <w:color w:val="auto"/>
                      <w:lang w:val="en-US" w:eastAsia="zh-CN"/>
                    </w:rPr>
                  </w:pPr>
                </w:p>
              </w:tc>
              <w:tc>
                <w:tcPr>
                  <w:tcW w:w="3339" w:type="dxa"/>
                  <w:vAlign w:val="center"/>
                </w:tcPr>
                <w:p>
                  <w:pPr>
                    <w:bidi w:val="0"/>
                    <w:jc w:val="center"/>
                    <w:rPr>
                      <w:rFonts w:hint="default"/>
                      <w:color w:val="auto"/>
                      <w:lang w:val="en-US" w:eastAsia="zh-CN"/>
                    </w:rPr>
                  </w:pPr>
                  <w:r>
                    <w:rPr>
                      <w:rFonts w:hint="default"/>
                      <w:color w:val="auto"/>
                      <w:lang w:val="en-US" w:eastAsia="zh-CN"/>
                    </w:rPr>
                    <w:t>推进重点行业污染治理升级改造。启动钢铁行业超低排放改造工作。加强钢铁、水泥、平板玻璃等重点行业脱硫、脱硝、除尘设施运行管理，确保污染治理设施正常运行，污染物达标排放。</w:t>
                  </w:r>
                </w:p>
              </w:tc>
              <w:tc>
                <w:tcPr>
                  <w:tcW w:w="1390" w:type="dxa"/>
                  <w:vAlign w:val="center"/>
                </w:tcPr>
                <w:p>
                  <w:pPr>
                    <w:bidi w:val="0"/>
                    <w:jc w:val="center"/>
                    <w:rPr>
                      <w:rFonts w:hint="default"/>
                      <w:color w:val="auto"/>
                      <w:lang w:val="en-US" w:eastAsia="zh-CN"/>
                    </w:rPr>
                  </w:pPr>
                  <w:r>
                    <w:rPr>
                      <w:rFonts w:hint="eastAsia"/>
                      <w:color w:val="auto"/>
                      <w:lang w:val="en-US" w:eastAsia="zh-CN"/>
                    </w:rPr>
                    <w:t>项目不涉及上述行业</w:t>
                  </w:r>
                </w:p>
              </w:tc>
              <w:tc>
                <w:tcPr>
                  <w:tcW w:w="719" w:type="dxa"/>
                  <w:vAlign w:val="center"/>
                </w:tcPr>
                <w:p>
                  <w:pPr>
                    <w:bidi w:val="0"/>
                    <w:jc w:val="cente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3" w:type="dxa"/>
                  <w:vMerge w:val="continue"/>
                  <w:vAlign w:val="center"/>
                </w:tcPr>
                <w:p>
                  <w:pPr>
                    <w:bidi w:val="0"/>
                    <w:jc w:val="center"/>
                    <w:rPr>
                      <w:rFonts w:hint="default"/>
                      <w:color w:val="auto"/>
                      <w:lang w:val="en-US" w:eastAsia="zh-CN"/>
                    </w:rPr>
                  </w:pPr>
                </w:p>
              </w:tc>
              <w:tc>
                <w:tcPr>
                  <w:tcW w:w="701" w:type="dxa"/>
                  <w:vMerge w:val="continue"/>
                  <w:vAlign w:val="center"/>
                </w:tcPr>
                <w:p>
                  <w:pPr>
                    <w:bidi w:val="0"/>
                    <w:jc w:val="center"/>
                    <w:rPr>
                      <w:rFonts w:hint="default"/>
                      <w:color w:val="auto"/>
                      <w:lang w:val="en-US" w:eastAsia="zh-CN"/>
                    </w:rPr>
                  </w:pPr>
                </w:p>
              </w:tc>
              <w:tc>
                <w:tcPr>
                  <w:tcW w:w="3339" w:type="dxa"/>
                  <w:vAlign w:val="center"/>
                </w:tcPr>
                <w:p>
                  <w:pPr>
                    <w:bidi w:val="0"/>
                    <w:jc w:val="center"/>
                    <w:rPr>
                      <w:rFonts w:hint="default"/>
                      <w:color w:val="auto"/>
                      <w:lang w:val="en-US" w:eastAsia="zh-CN"/>
                    </w:rPr>
                  </w:pPr>
                  <w:r>
                    <w:rPr>
                      <w:rFonts w:hint="default"/>
                      <w:color w:val="auto"/>
                      <w:lang w:val="en-US" w:eastAsia="zh-CN"/>
                    </w:rPr>
                    <w:t>强化工业企业无组织排放管理。开展钢铁、建材、有色、铸造等重点行业及燃煤锅炉无组织排放排查，建立管理台账，对物料（含废渣）运输、装卸、储存、转移和工艺过程等无组织排放实施深度治理，2020年底前，全州基本完成。</w:t>
                  </w:r>
                </w:p>
              </w:tc>
              <w:tc>
                <w:tcPr>
                  <w:tcW w:w="1390" w:type="dxa"/>
                  <w:vAlign w:val="center"/>
                </w:tcPr>
                <w:p>
                  <w:pPr>
                    <w:bidi w:val="0"/>
                    <w:jc w:val="center"/>
                    <w:rPr>
                      <w:rFonts w:hint="default"/>
                      <w:color w:val="auto"/>
                      <w:lang w:val="en-US" w:eastAsia="zh-CN"/>
                    </w:rPr>
                  </w:pPr>
                  <w:r>
                    <w:rPr>
                      <w:rFonts w:hint="eastAsia"/>
                      <w:color w:val="auto"/>
                      <w:lang w:val="en-US" w:eastAsia="zh-CN"/>
                    </w:rPr>
                    <w:t>项目不涉及</w:t>
                  </w:r>
                </w:p>
              </w:tc>
              <w:tc>
                <w:tcPr>
                  <w:tcW w:w="719" w:type="dxa"/>
                  <w:vAlign w:val="center"/>
                </w:tcPr>
                <w:p>
                  <w:pPr>
                    <w:bidi w:val="0"/>
                    <w:jc w:val="cente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3" w:type="dxa"/>
                  <w:vMerge w:val="continue"/>
                  <w:vAlign w:val="center"/>
                </w:tcPr>
                <w:p>
                  <w:pPr>
                    <w:bidi w:val="0"/>
                    <w:jc w:val="center"/>
                    <w:rPr>
                      <w:rFonts w:hint="default"/>
                      <w:color w:val="auto"/>
                      <w:lang w:val="en-US" w:eastAsia="zh-CN"/>
                    </w:rPr>
                  </w:pPr>
                </w:p>
              </w:tc>
              <w:tc>
                <w:tcPr>
                  <w:tcW w:w="701" w:type="dxa"/>
                  <w:vMerge w:val="continue"/>
                  <w:vAlign w:val="center"/>
                </w:tcPr>
                <w:p>
                  <w:pPr>
                    <w:bidi w:val="0"/>
                    <w:jc w:val="center"/>
                    <w:rPr>
                      <w:rFonts w:hint="default"/>
                      <w:color w:val="auto"/>
                      <w:lang w:val="en-US" w:eastAsia="zh-CN"/>
                    </w:rPr>
                  </w:pPr>
                </w:p>
              </w:tc>
              <w:tc>
                <w:tcPr>
                  <w:tcW w:w="3339" w:type="dxa"/>
                  <w:vAlign w:val="center"/>
                </w:tcPr>
                <w:p>
                  <w:pPr>
                    <w:bidi w:val="0"/>
                    <w:jc w:val="center"/>
                    <w:rPr>
                      <w:rFonts w:hint="default"/>
                      <w:color w:val="auto"/>
                      <w:lang w:val="en-US" w:eastAsia="zh-CN"/>
                    </w:rPr>
                  </w:pPr>
                  <w:r>
                    <w:rPr>
                      <w:rFonts w:hint="default"/>
                      <w:color w:val="auto"/>
                      <w:lang w:val="en-US" w:eastAsia="zh-CN"/>
                    </w:rPr>
                    <w:t>推</w:t>
                  </w:r>
                  <w:r>
                    <w:rPr>
                      <w:rFonts w:hint="eastAsia"/>
                      <w:color w:val="auto"/>
                      <w:lang w:val="en-US" w:eastAsia="zh-CN"/>
                    </w:rPr>
                    <w:t>进各类园区循环化改造</w:t>
                  </w:r>
                  <w:r>
                    <w:rPr>
                      <w:rFonts w:hint="default"/>
                      <w:color w:val="auto"/>
                      <w:lang w:val="en-US" w:eastAsia="zh-CN"/>
                    </w:rPr>
                    <w:t>、规范发展和提质增效。大力推进企业清洁生产</w:t>
                  </w:r>
                  <w:r>
                    <w:rPr>
                      <w:rFonts w:hint="eastAsia"/>
                      <w:color w:val="auto"/>
                      <w:lang w:val="en-US" w:eastAsia="zh-CN"/>
                    </w:rPr>
                    <w:t>。对开发区、工业园区、高新区等</w:t>
                  </w:r>
                  <w:r>
                    <w:rPr>
                      <w:rFonts w:hint="default"/>
                      <w:color w:val="auto"/>
                      <w:lang w:val="en-US" w:eastAsia="zh-CN"/>
                    </w:rPr>
                    <w:t>进行集中</w:t>
                  </w:r>
                  <w:r>
                    <w:rPr>
                      <w:rFonts w:hint="eastAsia"/>
                      <w:color w:val="auto"/>
                      <w:lang w:val="en-US" w:eastAsia="zh-CN"/>
                    </w:rPr>
                    <w:t>整治</w:t>
                  </w:r>
                  <w:r>
                    <w:rPr>
                      <w:rFonts w:hint="default"/>
                      <w:color w:val="auto"/>
                      <w:lang w:val="en-US" w:eastAsia="zh-CN"/>
                    </w:rPr>
                    <w:t>，限期进行达标改造，减少工业集聚区污染。</w:t>
                  </w:r>
                  <w:r>
                    <w:rPr>
                      <w:rFonts w:hint="eastAsia"/>
                      <w:color w:val="auto"/>
                      <w:lang w:val="en-US" w:eastAsia="zh-CN"/>
                    </w:rPr>
                    <w:t>完善园区集中供热设施，积极推广集中供热。</w:t>
                  </w:r>
                  <w:r>
                    <w:rPr>
                      <w:rFonts w:hint="default"/>
                      <w:color w:val="auto"/>
                      <w:lang w:val="en-US" w:eastAsia="zh-CN"/>
                    </w:rPr>
                    <w:t>有条件</w:t>
                  </w:r>
                  <w:r>
                    <w:rPr>
                      <w:rFonts w:hint="eastAsia"/>
                      <w:color w:val="auto"/>
                      <w:lang w:val="en-US" w:eastAsia="zh-CN"/>
                    </w:rPr>
                    <w:t>的工业集聚区建设集中喷涂工程中心，配备高效治污设施，替代企业独立喷涂工序</w:t>
                  </w:r>
                  <w:r>
                    <w:rPr>
                      <w:rFonts w:hint="default"/>
                      <w:color w:val="auto"/>
                      <w:lang w:val="en-US" w:eastAsia="zh-CN"/>
                    </w:rPr>
                    <w:t>。</w:t>
                  </w:r>
                </w:p>
              </w:tc>
              <w:tc>
                <w:tcPr>
                  <w:tcW w:w="1390" w:type="dxa"/>
                  <w:vAlign w:val="center"/>
                </w:tcPr>
                <w:p>
                  <w:pPr>
                    <w:bidi w:val="0"/>
                    <w:jc w:val="center"/>
                    <w:rPr>
                      <w:rFonts w:hint="default"/>
                      <w:color w:val="auto"/>
                      <w:lang w:val="en-US" w:eastAsia="zh-CN"/>
                    </w:rPr>
                  </w:pPr>
                  <w:r>
                    <w:rPr>
                      <w:rFonts w:hint="eastAsia"/>
                      <w:color w:val="auto"/>
                      <w:lang w:val="en-US" w:eastAsia="zh-CN"/>
                    </w:rPr>
                    <w:t>项目所在地不属于集中供热区，项目采用生物质锅炉，产生的废气配备水膜除尘设施进行处理，燃烧废气经水膜处理后，污染物能达标排放。</w:t>
                  </w:r>
                </w:p>
              </w:tc>
              <w:tc>
                <w:tcPr>
                  <w:tcW w:w="719" w:type="dxa"/>
                  <w:vAlign w:val="center"/>
                </w:tcPr>
                <w:p>
                  <w:pPr>
                    <w:bidi w:val="0"/>
                    <w:jc w:val="cente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3" w:type="dxa"/>
                  <w:vAlign w:val="center"/>
                </w:tcPr>
                <w:p>
                  <w:pPr>
                    <w:bidi w:val="0"/>
                    <w:jc w:val="center"/>
                    <w:rPr>
                      <w:rFonts w:hint="default"/>
                      <w:color w:val="auto"/>
                      <w:lang w:val="en-US" w:eastAsia="zh-CN"/>
                    </w:rPr>
                  </w:pPr>
                  <w:r>
                    <w:rPr>
                      <w:rFonts w:hint="eastAsia"/>
                      <w:color w:val="auto"/>
                      <w:lang w:val="en-US" w:eastAsia="zh-CN"/>
                    </w:rPr>
                    <w:t>5</w:t>
                  </w:r>
                </w:p>
              </w:tc>
              <w:tc>
                <w:tcPr>
                  <w:tcW w:w="701" w:type="dxa"/>
                  <w:vAlign w:val="center"/>
                </w:tcPr>
                <w:p>
                  <w:pPr>
                    <w:bidi w:val="0"/>
                    <w:jc w:val="center"/>
                    <w:rPr>
                      <w:rFonts w:hint="default"/>
                      <w:color w:val="auto"/>
                      <w:lang w:val="en-US" w:eastAsia="zh-CN"/>
                    </w:rPr>
                  </w:pPr>
                  <w:r>
                    <w:rPr>
                      <w:rFonts w:hint="eastAsia"/>
                      <w:color w:val="auto"/>
                      <w:lang w:val="en-US" w:eastAsia="zh-CN"/>
                    </w:rPr>
                    <w:t>开展燃煤锅炉和燃煤机组综合整治</w:t>
                  </w:r>
                </w:p>
              </w:tc>
              <w:tc>
                <w:tcPr>
                  <w:tcW w:w="3339" w:type="dxa"/>
                  <w:vAlign w:val="center"/>
                </w:tcPr>
                <w:p>
                  <w:pPr>
                    <w:bidi w:val="0"/>
                    <w:jc w:val="center"/>
                    <w:rPr>
                      <w:rFonts w:hint="default"/>
                      <w:color w:val="auto"/>
                      <w:lang w:val="en-US" w:eastAsia="zh-CN"/>
                    </w:rPr>
                  </w:pPr>
                  <w:r>
                    <w:rPr>
                      <w:rFonts w:hint="eastAsia"/>
                      <w:color w:val="auto"/>
                      <w:lang w:val="en-US" w:eastAsia="zh-CN"/>
                    </w:rPr>
                    <w:t>加大燃煤小锅炉淘汰力度。县级及以上城市建成区基本淘汰每小时10蒸吨及以下燃煤锅炉及茶水炉、经营性灶、储粮烘干设备等燃煤设施，原则上不再新建每小时35蒸吨以下的燃煤锅炉，其他地区原则上不再新建每小时10蒸吨以下的燃煤锅炉。2018年底前，所有州、市政府所在地城市建成区基本完成每小时10蒸吨及以下燃煤锅炉淘汰任务，到2020年底前，所有县级及以上城市建成区基本完成每小时10蒸吨及以下燃煤锅炉淘汰任务。</w:t>
                  </w:r>
                </w:p>
              </w:tc>
              <w:tc>
                <w:tcPr>
                  <w:tcW w:w="1390" w:type="dxa"/>
                  <w:vAlign w:val="center"/>
                </w:tcPr>
                <w:p>
                  <w:pPr>
                    <w:bidi w:val="0"/>
                    <w:jc w:val="center"/>
                    <w:rPr>
                      <w:rFonts w:hint="eastAsia"/>
                      <w:color w:val="auto"/>
                      <w:lang w:val="en-US" w:eastAsia="zh-CN"/>
                    </w:rPr>
                  </w:pPr>
                  <w:r>
                    <w:rPr>
                      <w:rFonts w:hint="eastAsia"/>
                      <w:color w:val="auto"/>
                      <w:lang w:val="en-US" w:eastAsia="zh-CN"/>
                    </w:rPr>
                    <w:t>项目使用生物质燃料锅炉</w:t>
                  </w:r>
                </w:p>
              </w:tc>
              <w:tc>
                <w:tcPr>
                  <w:tcW w:w="719" w:type="dxa"/>
                  <w:vAlign w:val="center"/>
                </w:tcPr>
                <w:p>
                  <w:pPr>
                    <w:bidi w:val="0"/>
                    <w:jc w:val="cente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3" w:type="dxa"/>
                  <w:vAlign w:val="center"/>
                </w:tcPr>
                <w:p>
                  <w:pPr>
                    <w:bidi w:val="0"/>
                    <w:jc w:val="center"/>
                    <w:rPr>
                      <w:rFonts w:hint="default"/>
                      <w:color w:val="auto"/>
                      <w:lang w:val="en-US" w:eastAsia="zh-CN"/>
                    </w:rPr>
                  </w:pPr>
                  <w:r>
                    <w:rPr>
                      <w:rFonts w:hint="eastAsia"/>
                      <w:color w:val="auto"/>
                      <w:lang w:val="en-US" w:eastAsia="zh-CN"/>
                    </w:rPr>
                    <w:t>6</w:t>
                  </w:r>
                </w:p>
              </w:tc>
              <w:tc>
                <w:tcPr>
                  <w:tcW w:w="701" w:type="dxa"/>
                  <w:vAlign w:val="center"/>
                </w:tcPr>
                <w:p>
                  <w:pPr>
                    <w:bidi w:val="0"/>
                    <w:jc w:val="center"/>
                    <w:rPr>
                      <w:rFonts w:hint="eastAsia"/>
                      <w:color w:val="auto"/>
                      <w:lang w:val="en-US" w:eastAsia="zh-CN"/>
                    </w:rPr>
                  </w:pPr>
                  <w:r>
                    <w:rPr>
                      <w:rFonts w:hint="eastAsia"/>
                      <w:color w:val="auto"/>
                      <w:lang w:val="en-US" w:eastAsia="zh-CN"/>
                    </w:rPr>
                    <w:t>加快发展清洁能源和新能源</w:t>
                  </w:r>
                </w:p>
              </w:tc>
              <w:tc>
                <w:tcPr>
                  <w:tcW w:w="3339" w:type="dxa"/>
                  <w:vAlign w:val="center"/>
                </w:tcPr>
                <w:p>
                  <w:pPr>
                    <w:bidi w:val="0"/>
                    <w:jc w:val="center"/>
                    <w:rPr>
                      <w:rFonts w:hint="default"/>
                      <w:color w:val="auto"/>
                      <w:lang w:val="en-US" w:eastAsia="zh-CN"/>
                    </w:rPr>
                  </w:pPr>
                  <w:r>
                    <w:rPr>
                      <w:rFonts w:hint="eastAsia"/>
                      <w:color w:val="auto"/>
                      <w:lang w:val="en-US" w:eastAsia="zh-CN"/>
                    </w:rPr>
                    <w:t>到2020年，非化石能源占能源消费总量比重提高到42%左右，全省天然气消费总量达到32亿立方米以上。有序发展水电，优化风能、太阳能开发布局，因地制宜发展生物质能、地热能等。加快省内天然气支线和压缩母站、卫星站、加气站建设，完善城市燃气管网和调峰储备体系，到2020年，全省16个州、市全部实现用管道气，省内天然气主干线网架基本形成。大力推进天然气高效利用，提高天然气利用水平，推动绿色用能。在具备资源条件的地方，鼓励发展县域生物质热电联产、生物质成型燃料锅炉及生物天然气。</w:t>
                  </w:r>
                </w:p>
              </w:tc>
              <w:tc>
                <w:tcPr>
                  <w:tcW w:w="1390" w:type="dxa"/>
                  <w:vAlign w:val="center"/>
                </w:tcPr>
                <w:p>
                  <w:pPr>
                    <w:bidi w:val="0"/>
                    <w:jc w:val="center"/>
                    <w:rPr>
                      <w:rFonts w:hint="eastAsia"/>
                      <w:color w:val="auto"/>
                      <w:lang w:val="en-US" w:eastAsia="zh-CN"/>
                    </w:rPr>
                  </w:pPr>
                  <w:r>
                    <w:rPr>
                      <w:rFonts w:hint="eastAsia"/>
                      <w:color w:val="auto"/>
                      <w:lang w:val="en-US" w:eastAsia="zh-CN"/>
                    </w:rPr>
                    <w:t>项目使用生物质锅炉</w:t>
                  </w:r>
                </w:p>
              </w:tc>
              <w:tc>
                <w:tcPr>
                  <w:tcW w:w="719" w:type="dxa"/>
                  <w:vAlign w:val="center"/>
                </w:tcPr>
                <w:p>
                  <w:pPr>
                    <w:bidi w:val="0"/>
                    <w:jc w:val="center"/>
                    <w:rPr>
                      <w:rFonts w:hint="eastAsia"/>
                      <w:color w:val="auto"/>
                      <w:lang w:val="en-US" w:eastAsia="zh-CN"/>
                    </w:rPr>
                  </w:pPr>
                  <w:r>
                    <w:rPr>
                      <w:rFonts w:hint="eastAsia"/>
                      <w:color w:val="auto"/>
                      <w:lang w:val="en-US" w:eastAsia="zh-CN"/>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综上所述，本项目的建设符合《云南省打赢蓝天保卫战三年行动实施方案》（云政发[2018]44号）的相关要求。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6、与《大理州“十四五”生态环境保护规划》相符性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lang w:val="en-US" w:eastAsia="zh-CN"/>
              </w:rPr>
            </w:pPr>
            <w:r>
              <w:rPr>
                <w:rFonts w:hint="default" w:ascii="Times New Roman" w:hAnsi="Times New Roman" w:eastAsia="宋体" w:cs="Times New Roman"/>
                <w:color w:val="auto"/>
                <w:sz w:val="24"/>
                <w:szCs w:val="24"/>
                <w:lang w:val="en-US" w:eastAsia="zh-CN"/>
              </w:rPr>
              <w:t>2022年8月22日，大理白族自治州人民政府办公室印发《大理白族自治州人民政府办公室关于印发《大理州“十四五”生态环境保护规划》的通知》，大政办发[2022]33号，项目与其规划符合性分析见下表；</w:t>
            </w:r>
          </w:p>
          <w:p>
            <w:pPr>
              <w:bidi w:val="0"/>
              <w:jc w:val="center"/>
              <w:rPr>
                <w:rFonts w:hint="eastAsia"/>
                <w:b/>
                <w:bCs/>
                <w:color w:val="auto"/>
                <w:lang w:val="en-US" w:eastAsia="zh-CN"/>
              </w:rPr>
            </w:pPr>
            <w:r>
              <w:rPr>
                <w:rFonts w:hint="eastAsia"/>
                <w:b/>
                <w:bCs/>
                <w:color w:val="auto"/>
                <w:lang w:val="en-US" w:eastAsia="zh-CN"/>
              </w:rPr>
              <w:t>表1-7  项目与《大理州“十四五”生态环境保护规划》的符合性对照表</w:t>
            </w:r>
          </w:p>
          <w:tbl>
            <w:tblPr>
              <w:tblStyle w:val="7"/>
              <w:tblW w:w="6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3089"/>
              <w:gridCol w:w="2106"/>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bidi w:val="0"/>
                    <w:jc w:val="center"/>
                    <w:rPr>
                      <w:rFonts w:hint="default"/>
                      <w:b/>
                      <w:bCs/>
                      <w:color w:val="auto"/>
                      <w:lang w:val="en-US" w:eastAsia="zh-CN"/>
                    </w:rPr>
                  </w:pPr>
                  <w:r>
                    <w:rPr>
                      <w:rFonts w:hint="default"/>
                      <w:b/>
                      <w:bCs/>
                      <w:color w:val="auto"/>
                      <w:lang w:val="en-US" w:eastAsia="zh-CN"/>
                    </w:rPr>
                    <w:t>序号</w:t>
                  </w:r>
                </w:p>
              </w:tc>
              <w:tc>
                <w:tcPr>
                  <w:tcW w:w="3089" w:type="dxa"/>
                  <w:vAlign w:val="center"/>
                </w:tcPr>
                <w:p>
                  <w:pPr>
                    <w:bidi w:val="0"/>
                    <w:jc w:val="center"/>
                    <w:rPr>
                      <w:rFonts w:hint="default"/>
                      <w:b/>
                      <w:bCs/>
                      <w:color w:val="auto"/>
                      <w:lang w:val="en-US" w:eastAsia="zh-CN"/>
                    </w:rPr>
                  </w:pPr>
                  <w:r>
                    <w:rPr>
                      <w:rFonts w:hint="default"/>
                      <w:b/>
                      <w:bCs/>
                      <w:color w:val="auto"/>
                      <w:lang w:val="en-US" w:eastAsia="zh-CN"/>
                    </w:rPr>
                    <w:t>大理州“十四五”生态环境保护规划</w:t>
                  </w:r>
                </w:p>
              </w:tc>
              <w:tc>
                <w:tcPr>
                  <w:tcW w:w="2106" w:type="dxa"/>
                  <w:vAlign w:val="center"/>
                </w:tcPr>
                <w:p>
                  <w:pPr>
                    <w:bidi w:val="0"/>
                    <w:jc w:val="center"/>
                    <w:rPr>
                      <w:rFonts w:hint="default"/>
                      <w:b/>
                      <w:bCs/>
                      <w:color w:val="auto"/>
                      <w:lang w:val="en-US" w:eastAsia="zh-CN"/>
                    </w:rPr>
                  </w:pPr>
                  <w:r>
                    <w:rPr>
                      <w:rFonts w:hint="default"/>
                      <w:b/>
                      <w:bCs/>
                      <w:color w:val="auto"/>
                      <w:lang w:val="en-US" w:eastAsia="zh-CN"/>
                    </w:rPr>
                    <w:t>本项目情况</w:t>
                  </w:r>
                </w:p>
              </w:tc>
              <w:tc>
                <w:tcPr>
                  <w:tcW w:w="828" w:type="dxa"/>
                  <w:vAlign w:val="center"/>
                </w:tcPr>
                <w:p>
                  <w:pPr>
                    <w:bidi w:val="0"/>
                    <w:jc w:val="center"/>
                    <w:rPr>
                      <w:rFonts w:hint="default"/>
                      <w:b/>
                      <w:bCs/>
                      <w:color w:val="auto"/>
                      <w:lang w:val="en-US" w:eastAsia="zh-CN"/>
                    </w:rPr>
                  </w:pPr>
                  <w:r>
                    <w:rPr>
                      <w:rFonts w:hint="default"/>
                      <w:b/>
                      <w:bCs/>
                      <w:color w:val="auto"/>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bidi w:val="0"/>
                    <w:jc w:val="center"/>
                    <w:rPr>
                      <w:rFonts w:hint="default"/>
                      <w:color w:val="auto"/>
                      <w:lang w:val="en-US" w:eastAsia="zh-CN"/>
                    </w:rPr>
                  </w:pPr>
                  <w:r>
                    <w:rPr>
                      <w:rFonts w:hint="default"/>
                      <w:color w:val="auto"/>
                      <w:lang w:val="en-US" w:eastAsia="zh-CN"/>
                    </w:rPr>
                    <w:t>1</w:t>
                  </w:r>
                </w:p>
              </w:tc>
              <w:tc>
                <w:tcPr>
                  <w:tcW w:w="3089" w:type="dxa"/>
                  <w:vAlign w:val="center"/>
                </w:tcPr>
                <w:p>
                  <w:pPr>
                    <w:bidi w:val="0"/>
                    <w:jc w:val="center"/>
                    <w:rPr>
                      <w:rFonts w:hint="default"/>
                      <w:color w:val="auto"/>
                      <w:lang w:val="en-US" w:eastAsia="zh-CN"/>
                    </w:rPr>
                  </w:pPr>
                  <w:r>
                    <w:rPr>
                      <w:rFonts w:hint="default"/>
                      <w:color w:val="auto"/>
                      <w:lang w:val="en-US" w:eastAsia="zh-CN"/>
                    </w:rPr>
                    <w:t>完成国家下达的主要污染物排放总量控制指标。水生态环境质量得到全面提升，饮用水源得到有效保护，优良水体断面比例明显上升，水生态保护修复取得成效，基本消除劣⋁类水体和城市黑臭水体。环境空气质量稳居全省前列，城市环境空气质量稳定达标。土壤和地下水环境质量总体保持稳定，安全利用水平巩固提升。农村生态环境明显改善。</w:t>
                  </w:r>
                </w:p>
              </w:tc>
              <w:tc>
                <w:tcPr>
                  <w:tcW w:w="2106" w:type="dxa"/>
                  <w:vAlign w:val="center"/>
                </w:tcPr>
                <w:p>
                  <w:pPr>
                    <w:bidi w:val="0"/>
                    <w:jc w:val="center"/>
                    <w:rPr>
                      <w:rFonts w:hint="default"/>
                      <w:color w:val="auto"/>
                      <w:lang w:val="en-US" w:eastAsia="zh-CN"/>
                    </w:rPr>
                  </w:pPr>
                  <w:r>
                    <w:rPr>
                      <w:rFonts w:hint="eastAsia"/>
                      <w:color w:val="auto"/>
                      <w:lang w:val="en-US" w:eastAsia="zh-CN"/>
                    </w:rPr>
                    <w:t>项目为酒店布草洗涤，项目所在地不涉及饮用水源保护地，项目产生的生活污水、生产废水经化粪池处理达标后，排入市政污水管网，最终进入牛街乡污水处理厂</w:t>
                  </w:r>
                </w:p>
              </w:tc>
              <w:tc>
                <w:tcPr>
                  <w:tcW w:w="828" w:type="dxa"/>
                  <w:vAlign w:val="center"/>
                </w:tcPr>
                <w:p>
                  <w:pPr>
                    <w:bidi w:val="0"/>
                    <w:jc w:val="center"/>
                    <w:rPr>
                      <w:rFonts w:hint="default"/>
                      <w:color w:val="auto"/>
                      <w:lang w:val="en-US" w:eastAsia="zh-CN"/>
                    </w:rPr>
                  </w:pPr>
                  <w:r>
                    <w:rPr>
                      <w:rFonts w:hint="default"/>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bidi w:val="0"/>
                    <w:jc w:val="center"/>
                    <w:rPr>
                      <w:rFonts w:hint="default"/>
                      <w:color w:val="auto"/>
                      <w:lang w:val="en-US" w:eastAsia="zh-CN"/>
                    </w:rPr>
                  </w:pPr>
                  <w:r>
                    <w:rPr>
                      <w:rFonts w:hint="default"/>
                      <w:color w:val="auto"/>
                      <w:lang w:val="en-US" w:eastAsia="zh-CN"/>
                    </w:rPr>
                    <w:t>2</w:t>
                  </w:r>
                </w:p>
              </w:tc>
              <w:tc>
                <w:tcPr>
                  <w:tcW w:w="3089" w:type="dxa"/>
                  <w:vAlign w:val="center"/>
                </w:tcPr>
                <w:p>
                  <w:pPr>
                    <w:bidi w:val="0"/>
                    <w:jc w:val="center"/>
                    <w:rPr>
                      <w:rFonts w:hint="default"/>
                      <w:color w:val="auto"/>
                      <w:lang w:val="en-US" w:eastAsia="zh-CN"/>
                    </w:rPr>
                  </w:pPr>
                  <w:r>
                    <w:rPr>
                      <w:rFonts w:hint="default"/>
                      <w:color w:val="auto"/>
                      <w:lang w:val="en-US" w:eastAsia="zh-CN"/>
                    </w:rPr>
                    <w:t>涉危、涉重和医疗废物环境风险防控能力明显增强，核与辐射监管能力持续加强，核安全和公众健康得到有效保障。</w:t>
                  </w:r>
                </w:p>
              </w:tc>
              <w:tc>
                <w:tcPr>
                  <w:tcW w:w="2106" w:type="dxa"/>
                  <w:vAlign w:val="center"/>
                </w:tcPr>
                <w:p>
                  <w:pPr>
                    <w:bidi w:val="0"/>
                    <w:jc w:val="center"/>
                    <w:rPr>
                      <w:rFonts w:hint="default"/>
                      <w:color w:val="auto"/>
                      <w:lang w:val="en-US" w:eastAsia="zh-CN"/>
                    </w:rPr>
                  </w:pPr>
                  <w:r>
                    <w:rPr>
                      <w:rFonts w:hint="default"/>
                      <w:color w:val="auto"/>
                      <w:lang w:val="en-US" w:eastAsia="zh-CN"/>
                    </w:rPr>
                    <w:t>项目不涉危、涉重和医疗废物、不涉及核与辐射。</w:t>
                  </w:r>
                </w:p>
              </w:tc>
              <w:tc>
                <w:tcPr>
                  <w:tcW w:w="828" w:type="dxa"/>
                  <w:vAlign w:val="center"/>
                </w:tcPr>
                <w:p>
                  <w:pPr>
                    <w:bidi w:val="0"/>
                    <w:jc w:val="center"/>
                    <w:rPr>
                      <w:rFonts w:hint="default"/>
                      <w:color w:val="auto"/>
                      <w:lang w:val="en-US" w:eastAsia="zh-CN"/>
                    </w:rPr>
                  </w:pPr>
                  <w:r>
                    <w:rPr>
                      <w:rFonts w:hint="default"/>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bidi w:val="0"/>
                    <w:jc w:val="center"/>
                    <w:rPr>
                      <w:rFonts w:hint="default"/>
                      <w:color w:val="auto"/>
                      <w:lang w:val="en-US" w:eastAsia="zh-CN"/>
                    </w:rPr>
                  </w:pPr>
                  <w:r>
                    <w:rPr>
                      <w:rFonts w:hint="default"/>
                      <w:color w:val="auto"/>
                      <w:lang w:val="en-US" w:eastAsia="zh-CN"/>
                    </w:rPr>
                    <w:t>3</w:t>
                  </w:r>
                </w:p>
              </w:tc>
              <w:tc>
                <w:tcPr>
                  <w:tcW w:w="3089" w:type="dxa"/>
                  <w:vAlign w:val="center"/>
                </w:tcPr>
                <w:p>
                  <w:pPr>
                    <w:bidi w:val="0"/>
                    <w:jc w:val="center"/>
                    <w:rPr>
                      <w:rFonts w:hint="default"/>
                      <w:color w:val="auto"/>
                      <w:lang w:val="en-US" w:eastAsia="zh-CN"/>
                    </w:rPr>
                  </w:pPr>
                  <w:r>
                    <w:rPr>
                      <w:rFonts w:hint="default"/>
                      <w:color w:val="auto"/>
                      <w:lang w:val="en-US" w:eastAsia="zh-CN"/>
                    </w:rPr>
                    <w:t>提升危险废物收集处置与利用能力。支持专业收集转运和利用处置单位建设区域性危险废物收集网点和贮存设施，开展危险废物集中收集贮存试点，提升小微企业、各类开发区、科研机构、学校等危险废物收集转运能力。合理规划布局建设危险废物处置设施，重点突出有色金属冶炼过程中产生的含砷废物、生活垃圾焚烧飞灰等低价值高环境风险废物利用处置能力，确保废物得到安全处置。规范产危险废物自行利用处置行为，提升自行利用处置设施能力和水平。</w:t>
                  </w:r>
                </w:p>
              </w:tc>
              <w:tc>
                <w:tcPr>
                  <w:tcW w:w="2106" w:type="dxa"/>
                  <w:vAlign w:val="center"/>
                </w:tcPr>
                <w:p>
                  <w:pPr>
                    <w:bidi w:val="0"/>
                    <w:jc w:val="center"/>
                    <w:rPr>
                      <w:rFonts w:hint="default"/>
                      <w:color w:val="auto"/>
                      <w:lang w:val="en-US" w:eastAsia="zh-CN"/>
                    </w:rPr>
                  </w:pPr>
                  <w:r>
                    <w:rPr>
                      <w:rFonts w:hint="eastAsia"/>
                      <w:color w:val="auto"/>
                      <w:lang w:val="en-US" w:eastAsia="zh-CN"/>
                    </w:rPr>
                    <w:t>项目不涉及危险废物</w:t>
                  </w:r>
                </w:p>
              </w:tc>
              <w:tc>
                <w:tcPr>
                  <w:tcW w:w="828" w:type="dxa"/>
                  <w:vAlign w:val="center"/>
                </w:tcPr>
                <w:p>
                  <w:pPr>
                    <w:bidi w:val="0"/>
                    <w:jc w:val="center"/>
                    <w:rPr>
                      <w:rFonts w:hint="default"/>
                      <w:color w:val="auto"/>
                      <w:lang w:val="en-US" w:eastAsia="zh-CN"/>
                    </w:rPr>
                  </w:pPr>
                  <w:r>
                    <w:rPr>
                      <w:rFonts w:hint="default"/>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bidi w:val="0"/>
                    <w:jc w:val="center"/>
                    <w:rPr>
                      <w:rFonts w:hint="default"/>
                      <w:color w:val="auto"/>
                      <w:lang w:val="en-US" w:eastAsia="zh-CN"/>
                    </w:rPr>
                  </w:pPr>
                  <w:r>
                    <w:rPr>
                      <w:rFonts w:hint="default"/>
                      <w:color w:val="auto"/>
                      <w:lang w:val="en-US" w:eastAsia="zh-CN"/>
                    </w:rPr>
                    <w:t>4</w:t>
                  </w:r>
                </w:p>
              </w:tc>
              <w:tc>
                <w:tcPr>
                  <w:tcW w:w="3089" w:type="dxa"/>
                  <w:vAlign w:val="center"/>
                </w:tcPr>
                <w:p>
                  <w:pPr>
                    <w:bidi w:val="0"/>
                    <w:jc w:val="center"/>
                    <w:rPr>
                      <w:rFonts w:hint="default"/>
                      <w:color w:val="auto"/>
                      <w:lang w:val="en-US" w:eastAsia="zh-CN"/>
                    </w:rPr>
                  </w:pPr>
                  <w:r>
                    <w:rPr>
                      <w:rFonts w:hint="default"/>
                      <w:color w:val="auto"/>
                      <w:lang w:val="en-US" w:eastAsia="zh-CN"/>
                    </w:rPr>
                    <w:t>危险废物收集处置与利用工程。鼓励和支持建设专业收集、转运和利用处置单位建设危险废物处置设施和区域性危险废物收集网点、贮存设施。</w:t>
                  </w:r>
                </w:p>
              </w:tc>
              <w:tc>
                <w:tcPr>
                  <w:tcW w:w="2106" w:type="dxa"/>
                  <w:vAlign w:val="center"/>
                </w:tcPr>
                <w:p>
                  <w:pPr>
                    <w:bidi w:val="0"/>
                    <w:jc w:val="center"/>
                    <w:rPr>
                      <w:rFonts w:hint="default"/>
                      <w:color w:val="auto"/>
                      <w:lang w:val="en-US" w:eastAsia="zh-CN"/>
                    </w:rPr>
                  </w:pPr>
                  <w:r>
                    <w:rPr>
                      <w:rFonts w:hint="eastAsia"/>
                      <w:color w:val="auto"/>
                      <w:lang w:val="en-US" w:eastAsia="zh-CN"/>
                    </w:rPr>
                    <w:t>项目不涉及危险废物</w:t>
                  </w:r>
                </w:p>
              </w:tc>
              <w:tc>
                <w:tcPr>
                  <w:tcW w:w="828" w:type="dxa"/>
                  <w:vAlign w:val="center"/>
                </w:tcPr>
                <w:p>
                  <w:pPr>
                    <w:bidi w:val="0"/>
                    <w:jc w:val="center"/>
                    <w:rPr>
                      <w:rFonts w:hint="default"/>
                      <w:color w:val="auto"/>
                      <w:lang w:val="en-US" w:eastAsia="zh-CN"/>
                    </w:rPr>
                  </w:pPr>
                  <w:r>
                    <w:rPr>
                      <w:rFonts w:hint="default"/>
                      <w:color w:val="auto"/>
                      <w:lang w:val="en-US" w:eastAsia="zh-CN"/>
                    </w:rPr>
                    <w:t>符合</w:t>
                  </w:r>
                </w:p>
              </w:tc>
            </w:tr>
          </w:tbl>
          <w:p>
            <w:pPr>
              <w:bidi w:val="0"/>
              <w:rPr>
                <w:rFonts w:hint="default"/>
                <w:color w:val="auto"/>
                <w:lang w:val="en-US" w:eastAsia="zh-CN"/>
              </w:rPr>
            </w:pP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与《长江经济带发展负面清单指南》（试行）2022年版的相符性分析</w:t>
            </w:r>
          </w:p>
          <w:p>
            <w:pPr>
              <w:numPr>
                <w:ilvl w:val="0"/>
                <w:numId w:val="0"/>
              </w:numPr>
              <w:bidi w:val="0"/>
              <w:jc w:val="center"/>
              <w:rPr>
                <w:rFonts w:hint="eastAsia"/>
                <w:b/>
                <w:bCs/>
                <w:color w:val="auto"/>
                <w:lang w:val="en-US" w:eastAsia="zh-CN"/>
              </w:rPr>
            </w:pPr>
            <w:r>
              <w:rPr>
                <w:rFonts w:hint="eastAsia"/>
                <w:b/>
                <w:bCs/>
                <w:color w:val="auto"/>
                <w:lang w:val="en-US" w:eastAsia="zh-CN"/>
              </w:rPr>
              <w:t>表1-8  与《长江经济带发展负面清单指南》（试行）2022年版符合性分析</w:t>
            </w:r>
          </w:p>
          <w:tbl>
            <w:tblPr>
              <w:tblStyle w:val="7"/>
              <w:tblW w:w="6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7"/>
              <w:gridCol w:w="1440"/>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7"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负面清单指南</w:t>
                  </w:r>
                </w:p>
              </w:tc>
              <w:tc>
                <w:tcPr>
                  <w:tcW w:w="1440"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本项目</w:t>
                  </w:r>
                </w:p>
              </w:tc>
              <w:tc>
                <w:tcPr>
                  <w:tcW w:w="855"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禁止建设不符合全国和省级港口布局规划以及港口总体规划的码头项目，禁止建设不符合《长江干线过江通道布局规划》的过长江通道项目。</w:t>
                  </w:r>
                </w:p>
              </w:tc>
              <w:tc>
                <w:tcPr>
                  <w:tcW w:w="144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项目不涉及</w:t>
                  </w:r>
                </w:p>
              </w:tc>
              <w:tc>
                <w:tcPr>
                  <w:tcW w:w="85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禁止在自然保护区核心区、缓冲区的岸线和河段范围内投资建设旅游和生产经营项目。禁止在风景名胜区核心景区的岸线和河段范围内投资建设与风景名胜资源保护无关的项目。</w:t>
                  </w:r>
                </w:p>
              </w:tc>
              <w:tc>
                <w:tcPr>
                  <w:tcW w:w="144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项目不涉及</w:t>
                  </w:r>
                </w:p>
              </w:tc>
              <w:tc>
                <w:tcPr>
                  <w:tcW w:w="85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44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p>
              </w:tc>
              <w:tc>
                <w:tcPr>
                  <w:tcW w:w="144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项目不涉及</w:t>
                  </w:r>
                </w:p>
              </w:tc>
              <w:tc>
                <w:tcPr>
                  <w:tcW w:w="85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144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项目不涉及</w:t>
                  </w:r>
                </w:p>
              </w:tc>
              <w:tc>
                <w:tcPr>
                  <w:tcW w:w="85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144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项目不涉及</w:t>
                  </w:r>
                </w:p>
              </w:tc>
              <w:tc>
                <w:tcPr>
                  <w:tcW w:w="85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禁止未经许可在长江干支流及湖泊新设、改设或扩大排污口。</w:t>
                  </w:r>
                </w:p>
              </w:tc>
              <w:tc>
                <w:tcPr>
                  <w:tcW w:w="144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项目不涉及</w:t>
                  </w:r>
                </w:p>
              </w:tc>
              <w:tc>
                <w:tcPr>
                  <w:tcW w:w="85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44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禁止在“一江一口两湖七河”和332个水生生物保护区开展生产性捕捞。</w:t>
                  </w:r>
                </w:p>
              </w:tc>
              <w:tc>
                <w:tcPr>
                  <w:tcW w:w="144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项目不涉及</w:t>
                  </w:r>
                </w:p>
              </w:tc>
              <w:tc>
                <w:tcPr>
                  <w:tcW w:w="85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p>
              </w:tc>
              <w:tc>
                <w:tcPr>
                  <w:tcW w:w="144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项目不涉及</w:t>
                  </w:r>
                </w:p>
              </w:tc>
              <w:tc>
                <w:tcPr>
                  <w:tcW w:w="85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禁止在合规园区外新建、扩建钢铁、石化、化工、焦化、建材、有色、制浆造纸等高污染项目。</w:t>
                  </w:r>
                </w:p>
              </w:tc>
              <w:tc>
                <w:tcPr>
                  <w:tcW w:w="144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项目不涉及</w:t>
                  </w:r>
                </w:p>
              </w:tc>
              <w:tc>
                <w:tcPr>
                  <w:tcW w:w="85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4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禁止新建、扩建不符合国家石化、现代煤化工等产业布局规划的项目。</w:t>
                  </w:r>
                </w:p>
              </w:tc>
              <w:tc>
                <w:tcPr>
                  <w:tcW w:w="144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项目不涉及</w:t>
                  </w:r>
                </w:p>
              </w:tc>
              <w:tc>
                <w:tcPr>
                  <w:tcW w:w="85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44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禁止新建、扩建法律法规和相关政策明令禁止的落后产能项目。禁止新建、扩建不符合国家产能置换要求的严重过剩产能行业的项目。禁止新建、扩建不符合要求的高耗能高排放项目。</w:t>
                  </w:r>
                </w:p>
              </w:tc>
              <w:tc>
                <w:tcPr>
                  <w:tcW w:w="144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项目不涉及</w:t>
                  </w:r>
                </w:p>
              </w:tc>
              <w:tc>
                <w:tcPr>
                  <w:tcW w:w="85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符合</w:t>
                  </w:r>
                </w:p>
              </w:tc>
            </w:tr>
          </w:tbl>
          <w:p>
            <w:pPr>
              <w:bidi w:val="0"/>
              <w:rPr>
                <w:rFonts w:hint="default"/>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val="en-US" w:eastAsia="zh-CN"/>
              </w:rPr>
              <w:t>、与《云南省长江经济带发展负面清单指南实施细则》</w:t>
            </w:r>
            <w:r>
              <w:rPr>
                <w:rFonts w:hint="eastAsia" w:ascii="Times New Roman" w:hAnsi="Times New Roman" w:eastAsia="宋体" w:cs="Times New Roman"/>
                <w:color w:val="auto"/>
                <w:sz w:val="24"/>
                <w:szCs w:val="24"/>
                <w:lang w:val="en-US" w:eastAsia="zh-CN"/>
              </w:rPr>
              <w:t>（试行 2022年版）</w:t>
            </w:r>
            <w:r>
              <w:rPr>
                <w:rFonts w:hint="default" w:ascii="Times New Roman" w:hAnsi="Times New Roman" w:eastAsia="宋体" w:cs="Times New Roman"/>
                <w:color w:val="auto"/>
                <w:sz w:val="24"/>
                <w:szCs w:val="24"/>
                <w:lang w:val="en-US" w:eastAsia="zh-CN"/>
              </w:rPr>
              <w:t>的相符性分析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lang w:val="en-US" w:eastAsia="zh-CN"/>
              </w:rPr>
            </w:pPr>
            <w:r>
              <w:rPr>
                <w:rFonts w:hint="default" w:ascii="Times New Roman" w:hAnsi="Times New Roman" w:eastAsia="宋体" w:cs="Times New Roman"/>
                <w:color w:val="auto"/>
                <w:sz w:val="24"/>
                <w:szCs w:val="24"/>
                <w:lang w:val="en-US" w:eastAsia="zh-CN"/>
              </w:rPr>
              <w:t>项目位于</w:t>
            </w:r>
            <w:r>
              <w:rPr>
                <w:rFonts w:hint="eastAsia" w:ascii="Times New Roman" w:hAnsi="Times New Roman" w:eastAsia="宋体" w:cs="Times New Roman"/>
                <w:color w:val="auto"/>
                <w:sz w:val="24"/>
                <w:szCs w:val="24"/>
                <w:lang w:val="en-US" w:eastAsia="zh-CN"/>
              </w:rPr>
              <w:t>洱源县牛街乡太平村</w:t>
            </w:r>
            <w:r>
              <w:rPr>
                <w:rFonts w:hint="default" w:ascii="Times New Roman" w:hAnsi="Times New Roman" w:eastAsia="宋体" w:cs="Times New Roman"/>
                <w:color w:val="auto"/>
                <w:sz w:val="24"/>
                <w:szCs w:val="24"/>
                <w:lang w:val="en-US" w:eastAsia="zh-CN"/>
              </w:rPr>
              <w:t>，不涉及生态红线、基本农田及各类保护区，也不在《长江岸线保护和开发利用总体规划》划定的岸线保护区、《全国重要江河湖泊水功能区划》划定的河段保护区及保留区内。项目属其他清洁服务类项目，项目对照《云南省长江经济带发展负面清单实施细则》相关要求分析项目符合性，见下表；</w:t>
            </w:r>
          </w:p>
          <w:p>
            <w:pPr>
              <w:bidi w:val="0"/>
              <w:jc w:val="center"/>
              <w:rPr>
                <w:rFonts w:hint="eastAsia"/>
                <w:b/>
                <w:bCs/>
                <w:color w:val="auto"/>
                <w:lang w:val="en-US" w:eastAsia="zh-CN"/>
              </w:rPr>
            </w:pPr>
            <w:r>
              <w:rPr>
                <w:rFonts w:hint="eastAsia"/>
                <w:b/>
                <w:bCs/>
                <w:color w:val="auto"/>
                <w:lang w:val="en-US" w:eastAsia="zh-CN"/>
              </w:rPr>
              <w:t>表1-9  与《云南省长江经济带发展负面清单指南实施细则》符合性分析</w:t>
            </w:r>
          </w:p>
          <w:tbl>
            <w:tblPr>
              <w:tblStyle w:val="7"/>
              <w:tblW w:w="6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8"/>
              <w:gridCol w:w="124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8" w:type="dxa"/>
                  <w:vAlign w:val="center"/>
                </w:tcPr>
                <w:p>
                  <w:pPr>
                    <w:bidi w:val="0"/>
                    <w:jc w:val="center"/>
                    <w:rPr>
                      <w:rFonts w:hint="default"/>
                      <w:b/>
                      <w:bCs/>
                      <w:color w:val="auto"/>
                      <w:lang w:val="en-US" w:eastAsia="zh-CN"/>
                    </w:rPr>
                  </w:pPr>
                  <w:r>
                    <w:rPr>
                      <w:rFonts w:hint="default"/>
                      <w:b/>
                      <w:bCs/>
                      <w:color w:val="auto"/>
                      <w:lang w:val="en-US" w:eastAsia="zh-CN"/>
                    </w:rPr>
                    <w:t>负面清单指南实施细则</w:t>
                  </w:r>
                </w:p>
              </w:tc>
              <w:tc>
                <w:tcPr>
                  <w:tcW w:w="1243" w:type="dxa"/>
                  <w:vAlign w:val="center"/>
                </w:tcPr>
                <w:p>
                  <w:pPr>
                    <w:bidi w:val="0"/>
                    <w:jc w:val="center"/>
                    <w:rPr>
                      <w:rFonts w:hint="default"/>
                      <w:b/>
                      <w:bCs/>
                      <w:color w:val="auto"/>
                      <w:lang w:val="en-US" w:eastAsia="zh-CN"/>
                    </w:rPr>
                  </w:pPr>
                  <w:r>
                    <w:rPr>
                      <w:rFonts w:hint="default"/>
                      <w:b/>
                      <w:bCs/>
                      <w:color w:val="auto"/>
                      <w:lang w:val="en-US" w:eastAsia="zh-CN"/>
                    </w:rPr>
                    <w:t>本项目</w:t>
                  </w:r>
                </w:p>
              </w:tc>
              <w:tc>
                <w:tcPr>
                  <w:tcW w:w="851" w:type="dxa"/>
                  <w:vAlign w:val="center"/>
                </w:tcPr>
                <w:p>
                  <w:pPr>
                    <w:bidi w:val="0"/>
                    <w:jc w:val="center"/>
                    <w:rPr>
                      <w:rFonts w:hint="default"/>
                      <w:b/>
                      <w:bCs/>
                      <w:color w:val="auto"/>
                      <w:lang w:val="en-US" w:eastAsia="zh-CN"/>
                    </w:rPr>
                  </w:pPr>
                  <w:r>
                    <w:rPr>
                      <w:rFonts w:hint="default"/>
                      <w:b/>
                      <w:bCs/>
                      <w:color w:val="auto"/>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8" w:type="dxa"/>
                  <w:vAlign w:val="center"/>
                </w:tcPr>
                <w:p>
                  <w:pPr>
                    <w:numPr>
                      <w:ilvl w:val="0"/>
                      <w:numId w:val="0"/>
                    </w:numPr>
                    <w:bidi w:val="0"/>
                    <w:jc w:val="center"/>
                    <w:rPr>
                      <w:rFonts w:hint="default"/>
                      <w:color w:val="auto"/>
                      <w:lang w:val="en-US" w:eastAsia="zh-CN"/>
                    </w:rPr>
                  </w:pPr>
                  <w:r>
                    <w:rPr>
                      <w:rFonts w:hint="eastAsia"/>
                      <w:color w:val="auto"/>
                      <w:lang w:val="en-US" w:eastAsia="zh-CN"/>
                    </w:rPr>
                    <w:t>一、禁止建设不符合全国和省级港口布局规划以及港口总体规划的码头项目。</w:t>
                  </w:r>
                </w:p>
              </w:tc>
              <w:tc>
                <w:tcPr>
                  <w:tcW w:w="1243" w:type="dxa"/>
                  <w:vAlign w:val="center"/>
                </w:tcPr>
                <w:p>
                  <w:pPr>
                    <w:bidi w:val="0"/>
                    <w:jc w:val="center"/>
                    <w:rPr>
                      <w:rFonts w:hint="default"/>
                      <w:color w:val="auto"/>
                      <w:lang w:val="en-US" w:eastAsia="zh-CN"/>
                    </w:rPr>
                  </w:pPr>
                  <w:r>
                    <w:rPr>
                      <w:rFonts w:hint="eastAsia"/>
                      <w:color w:val="auto"/>
                      <w:lang w:val="en-US" w:eastAsia="zh-CN"/>
                    </w:rPr>
                    <w:t>项目不涉及</w:t>
                  </w:r>
                </w:p>
              </w:tc>
              <w:tc>
                <w:tcPr>
                  <w:tcW w:w="851" w:type="dxa"/>
                  <w:vAlign w:val="center"/>
                </w:tcPr>
                <w:p>
                  <w:pPr>
                    <w:bidi w:val="0"/>
                    <w:jc w:val="center"/>
                    <w:rPr>
                      <w:rFonts w:hint="default"/>
                      <w:color w:val="auto"/>
                      <w:lang w:val="en-US" w:eastAsia="zh-CN"/>
                    </w:rPr>
                  </w:pPr>
                  <w:r>
                    <w:rPr>
                      <w:rFonts w:hint="default"/>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8" w:type="dxa"/>
                  <w:vAlign w:val="center"/>
                </w:tcPr>
                <w:p>
                  <w:pPr>
                    <w:bidi w:val="0"/>
                    <w:jc w:val="center"/>
                    <w:rPr>
                      <w:rFonts w:hint="default"/>
                      <w:color w:val="auto"/>
                      <w:lang w:val="en-US" w:eastAsia="zh-CN"/>
                    </w:rPr>
                  </w:pPr>
                  <w:r>
                    <w:rPr>
                      <w:rFonts w:hint="eastAsia"/>
                      <w:color w:val="auto"/>
                      <w:lang w:val="en-US" w:eastAsia="zh-CN"/>
                    </w:rPr>
                    <w:t>二、禁止在生态保护红线范围内投资建设项目，生态保护红线内、自然保护地核心保护区原则上禁止人为活动；其他区域严格禁止开发性、生产性建设活动。除国家重大战略资源勘查项目、生态保护修复和环境治理项目、重大基础设施项目、军事国防项目以及农牧民基本生产生活等必要的民生项目以外的项目。生态保护红线原则上按禁止开发区域的要求进行管理外，仅允许对生态功能不造成破坏的有限人为活动。</w:t>
                  </w:r>
                </w:p>
              </w:tc>
              <w:tc>
                <w:tcPr>
                  <w:tcW w:w="1243" w:type="dxa"/>
                  <w:vAlign w:val="center"/>
                </w:tcPr>
                <w:p>
                  <w:pPr>
                    <w:bidi w:val="0"/>
                    <w:jc w:val="center"/>
                    <w:rPr>
                      <w:rFonts w:hint="default"/>
                      <w:color w:val="auto"/>
                      <w:lang w:val="en-US" w:eastAsia="zh-CN"/>
                    </w:rPr>
                  </w:pPr>
                  <w:r>
                    <w:rPr>
                      <w:rFonts w:hint="eastAsia"/>
                      <w:color w:val="auto"/>
                      <w:lang w:val="en-US" w:eastAsia="zh-CN"/>
                    </w:rPr>
                    <w:t>项目不涉及生态保护红线</w:t>
                  </w:r>
                </w:p>
              </w:tc>
              <w:tc>
                <w:tcPr>
                  <w:tcW w:w="851" w:type="dxa"/>
                  <w:vAlign w:val="center"/>
                </w:tcPr>
                <w:p>
                  <w:pPr>
                    <w:bidi w:val="0"/>
                    <w:jc w:val="center"/>
                    <w:rPr>
                      <w:rFonts w:hint="default"/>
                      <w:color w:val="auto"/>
                      <w:lang w:val="en-US" w:eastAsia="zh-CN"/>
                    </w:rPr>
                  </w:pPr>
                  <w:r>
                    <w:rPr>
                      <w:rFonts w:hint="default"/>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8" w:type="dxa"/>
                  <w:vAlign w:val="center"/>
                </w:tcPr>
                <w:p>
                  <w:pPr>
                    <w:bidi w:val="0"/>
                    <w:jc w:val="center"/>
                    <w:rPr>
                      <w:rFonts w:hint="default"/>
                      <w:color w:val="auto"/>
                      <w:lang w:val="en-US" w:eastAsia="zh-CN"/>
                    </w:rPr>
                  </w:pPr>
                  <w:r>
                    <w:rPr>
                      <w:rFonts w:hint="eastAsia"/>
                      <w:color w:val="auto"/>
                      <w:lang w:val="en-US" w:eastAsia="zh-CN"/>
                    </w:rPr>
                    <w:t>三、禁止在自然保护区内进行砍伐、放牧、狩猎、捕捞、采药、开垦、烧荒、开矿、采石、挖沙等活动；禁止任何人进入自然保护区的核心区；禁止在自然保护区的缓冲区开展旅游和生产经营活动；严禁开设与自然保护区保护方向不一致的参观、旅游项目；在自然保护区的实验区内，不得建设污染环境、破坏资源或者景观的生产设施；自然保护区核心区，严禁任何生产经营活动；新建公路、铁路和其他基础设施不得穿越自然保护区核心区，尽量避免穿越缓冲区；禁止在自然保护区的核心区和缓冲区内建设畜禽养殖场、养殖小区。</w:t>
                  </w:r>
                </w:p>
              </w:tc>
              <w:tc>
                <w:tcPr>
                  <w:tcW w:w="1243" w:type="dxa"/>
                  <w:vAlign w:val="center"/>
                </w:tcPr>
                <w:p>
                  <w:pPr>
                    <w:bidi w:val="0"/>
                    <w:jc w:val="center"/>
                    <w:rPr>
                      <w:rFonts w:hint="default"/>
                      <w:color w:val="auto"/>
                      <w:lang w:val="en-US" w:eastAsia="zh-CN"/>
                    </w:rPr>
                  </w:pPr>
                  <w:r>
                    <w:rPr>
                      <w:rFonts w:hint="eastAsia"/>
                      <w:color w:val="auto"/>
                      <w:lang w:val="en-US" w:eastAsia="zh-CN"/>
                    </w:rPr>
                    <w:t>项目不涉及自然保护区</w:t>
                  </w:r>
                </w:p>
              </w:tc>
              <w:tc>
                <w:tcPr>
                  <w:tcW w:w="851" w:type="dxa"/>
                  <w:vAlign w:val="center"/>
                </w:tcPr>
                <w:p>
                  <w:pPr>
                    <w:bidi w:val="0"/>
                    <w:jc w:val="center"/>
                    <w:rPr>
                      <w:rFonts w:hint="default"/>
                      <w:color w:val="auto"/>
                      <w:lang w:val="en-US" w:eastAsia="zh-CN"/>
                    </w:rPr>
                  </w:pPr>
                  <w:r>
                    <w:rPr>
                      <w:rFonts w:hint="default"/>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8" w:type="dxa"/>
                  <w:vAlign w:val="center"/>
                </w:tcPr>
                <w:p>
                  <w:pPr>
                    <w:bidi w:val="0"/>
                    <w:jc w:val="center"/>
                    <w:rPr>
                      <w:rFonts w:hint="default"/>
                      <w:color w:val="auto"/>
                      <w:lang w:val="en-US" w:eastAsia="zh-CN"/>
                    </w:rPr>
                  </w:pPr>
                  <w:r>
                    <w:rPr>
                      <w:rFonts w:hint="eastAsia"/>
                      <w:color w:val="auto"/>
                      <w:lang w:val="en-US" w:eastAsia="zh-CN"/>
                    </w:rPr>
                    <w:t>四、禁止在风景名胜区内进行开山、采石、开矿、开荒、修坟立碑等破坏景观，植被和地形地貌的活动以及修建储存爆炸性、易燃性、放射性、毒害性、腐蚀性物品的设施；禁止违反风景名胜区规划，在风景名胜区内设立各类开发区和在核心景区内建设宾馆、招待所、培训中心、疗养院以及与风景名胜资源保护无关的其他建筑物；禁止在风景名胜区从事与风景名胜资源无关的生产建设活动；风景名胜区内的水源、水体应当严加保护，禁止污染水源、水体、禁止擅自围、填、堵塞水面和围湖造田等；禁止在风景名胜区内建设畜禽养殖场、养殖小区。</w:t>
                  </w:r>
                </w:p>
              </w:tc>
              <w:tc>
                <w:tcPr>
                  <w:tcW w:w="1243" w:type="dxa"/>
                  <w:vAlign w:val="center"/>
                </w:tcPr>
                <w:p>
                  <w:pPr>
                    <w:bidi w:val="0"/>
                    <w:jc w:val="center"/>
                    <w:rPr>
                      <w:rFonts w:hint="default"/>
                      <w:color w:val="auto"/>
                      <w:lang w:val="en-US" w:eastAsia="zh-CN"/>
                    </w:rPr>
                  </w:pPr>
                  <w:r>
                    <w:rPr>
                      <w:rFonts w:hint="eastAsia"/>
                      <w:color w:val="auto"/>
                      <w:lang w:val="en-US" w:eastAsia="zh-CN"/>
                    </w:rPr>
                    <w:t>项目不涉及风景名胜区</w:t>
                  </w:r>
                </w:p>
              </w:tc>
              <w:tc>
                <w:tcPr>
                  <w:tcW w:w="851" w:type="dxa"/>
                  <w:vAlign w:val="center"/>
                </w:tcPr>
                <w:p>
                  <w:pPr>
                    <w:bidi w:val="0"/>
                    <w:jc w:val="center"/>
                    <w:rPr>
                      <w:rFonts w:hint="default"/>
                      <w:color w:val="auto"/>
                      <w:lang w:val="en-US" w:eastAsia="zh-CN"/>
                    </w:rPr>
                  </w:pPr>
                  <w:r>
                    <w:rPr>
                      <w:rFonts w:hint="default"/>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8" w:type="dxa"/>
                  <w:vAlign w:val="center"/>
                </w:tcPr>
                <w:p>
                  <w:pPr>
                    <w:bidi w:val="0"/>
                    <w:jc w:val="center"/>
                    <w:rPr>
                      <w:rFonts w:hint="default"/>
                      <w:color w:val="auto"/>
                      <w:lang w:val="en-US" w:eastAsia="zh-CN"/>
                    </w:rPr>
                  </w:pPr>
                  <w:r>
                    <w:rPr>
                      <w:rFonts w:hint="eastAsia"/>
                      <w:color w:val="auto"/>
                      <w:lang w:val="en-US" w:eastAsia="zh-CN"/>
                    </w:rPr>
                    <w:t>五、禁止擅自征收、占用国家湿地公园的土地。除国家另外有规定外，禁止在国家湿地公园内开（围）垦、填埋或者排干湿地；截断湿地水源；挖沙、采矿、倾倒有毒有害物质、废弃物、垃圾；从事房地产、度假村、高尔夫球场、风力发电、光伏发电等任何不符合主体功能定位的建设项目和开发活动；破坏野生动物栖息地和迁徙通道、鱼类洄游通道；滥采滥捕野生动植物，引入外来物种；擅自放牧、捕捞、取土、取水、排污、放生等破坏湿地及其生态功能的活动。国家湿地公园保育区除开展保护、监测、科学研究等必需的保护管理活动外，不得进行任何与湿地生态系统保护和管理无关的其他活动。</w:t>
                  </w:r>
                </w:p>
              </w:tc>
              <w:tc>
                <w:tcPr>
                  <w:tcW w:w="1243" w:type="dxa"/>
                  <w:vAlign w:val="center"/>
                </w:tcPr>
                <w:p>
                  <w:pPr>
                    <w:bidi w:val="0"/>
                    <w:jc w:val="center"/>
                    <w:rPr>
                      <w:rFonts w:hint="default"/>
                      <w:color w:val="auto"/>
                      <w:lang w:val="en-US" w:eastAsia="zh-CN"/>
                    </w:rPr>
                  </w:pPr>
                  <w:r>
                    <w:rPr>
                      <w:rFonts w:hint="eastAsia"/>
                      <w:color w:val="auto"/>
                      <w:lang w:val="en-US" w:eastAsia="zh-CN"/>
                    </w:rPr>
                    <w:t>项目不涉及国家湿地</w:t>
                  </w:r>
                </w:p>
              </w:tc>
              <w:tc>
                <w:tcPr>
                  <w:tcW w:w="851" w:type="dxa"/>
                  <w:vAlign w:val="center"/>
                </w:tcPr>
                <w:p>
                  <w:pPr>
                    <w:bidi w:val="0"/>
                    <w:jc w:val="center"/>
                    <w:rPr>
                      <w:rFonts w:hint="default"/>
                      <w:color w:val="auto"/>
                      <w:lang w:val="en-US" w:eastAsia="zh-CN"/>
                    </w:rPr>
                  </w:pPr>
                  <w:r>
                    <w:rPr>
                      <w:rFonts w:hint="default"/>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8" w:type="dxa"/>
                  <w:vAlign w:val="center"/>
                </w:tcPr>
                <w:p>
                  <w:pPr>
                    <w:bidi w:val="0"/>
                    <w:jc w:val="center"/>
                    <w:rPr>
                      <w:rFonts w:hint="default"/>
                      <w:color w:val="auto"/>
                      <w:lang w:val="en-US" w:eastAsia="zh-CN"/>
                    </w:rPr>
                  </w:pPr>
                  <w:r>
                    <w:rPr>
                      <w:rFonts w:hint="eastAsia"/>
                      <w:color w:val="auto"/>
                      <w:lang w:val="en-US" w:eastAsia="zh-CN"/>
                    </w:rPr>
                    <w:t>六、禁止在饮用水水源一级保护区内新建、改建、扩建与供水设施和保护水源无关的建设项目；禁止在饮用水水源一级保护区内从事网箱养殖、旅游、游泳、垂钓或者其他可能污染饮用水水体的活动。禁止在饮用水水源二级保护区内新建、改建、扩建排放污染物的建设项目；在饮用水水源二级保护区内从事网箱养殖、旅游等活动的，应当按照规定采取措施，防止污染饮用水水体。</w:t>
                  </w:r>
                </w:p>
              </w:tc>
              <w:tc>
                <w:tcPr>
                  <w:tcW w:w="1243" w:type="dxa"/>
                  <w:vAlign w:val="center"/>
                </w:tcPr>
                <w:p>
                  <w:pPr>
                    <w:bidi w:val="0"/>
                    <w:jc w:val="center"/>
                    <w:rPr>
                      <w:rFonts w:hint="default"/>
                      <w:color w:val="auto"/>
                      <w:lang w:val="en-US" w:eastAsia="zh-CN"/>
                    </w:rPr>
                  </w:pPr>
                  <w:r>
                    <w:rPr>
                      <w:rFonts w:hint="eastAsia"/>
                      <w:color w:val="auto"/>
                      <w:lang w:val="en-US" w:eastAsia="zh-CN"/>
                    </w:rPr>
                    <w:t>项目不涉及饮用水水源地</w:t>
                  </w:r>
                </w:p>
              </w:tc>
              <w:tc>
                <w:tcPr>
                  <w:tcW w:w="851" w:type="dxa"/>
                  <w:vAlign w:val="center"/>
                </w:tcPr>
                <w:p>
                  <w:pPr>
                    <w:bidi w:val="0"/>
                    <w:jc w:val="center"/>
                    <w:rPr>
                      <w:rFonts w:hint="default"/>
                      <w:color w:val="auto"/>
                      <w:lang w:val="en-US" w:eastAsia="zh-CN"/>
                    </w:rPr>
                  </w:pPr>
                  <w:r>
                    <w:rPr>
                      <w:rFonts w:hint="default"/>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8" w:type="dxa"/>
                  <w:vAlign w:val="center"/>
                </w:tcPr>
                <w:p>
                  <w:pPr>
                    <w:bidi w:val="0"/>
                    <w:jc w:val="center"/>
                    <w:rPr>
                      <w:rFonts w:hint="default"/>
                      <w:color w:val="auto"/>
                      <w:lang w:val="en-US" w:eastAsia="zh-CN"/>
                    </w:rPr>
                  </w:pPr>
                  <w:r>
                    <w:rPr>
                      <w:rFonts w:hint="eastAsia"/>
                      <w:color w:val="auto"/>
                      <w:lang w:val="en-US" w:eastAsia="zh-CN"/>
                    </w:rPr>
                    <w:t>七、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除国家明确支持的重大建设项目、军事国防类项目、交通类项目、能源类项目、水利类项目、国务院投资主管部门或国务院投资主管部门会同有关部门支持和认可的交通、能源、水利基础设施项目外，禁止在永久基本农田范围内投资建设项目。重大建设项目选址确实难以避让永久基本农田的，需在可行性研究阶段，对占用的必要性、合理性和补划方案的可行性进行严格论证，按照“数量不减、质量下降、布局稳定”的要求进行补划，报自然资源部用地预审，依法依规办理农用地转用和土地征收，和法定程序修改相应的国土空间规划用途。</w:t>
                  </w:r>
                </w:p>
              </w:tc>
              <w:tc>
                <w:tcPr>
                  <w:tcW w:w="1243" w:type="dxa"/>
                  <w:vAlign w:val="center"/>
                </w:tcPr>
                <w:p>
                  <w:pPr>
                    <w:bidi w:val="0"/>
                    <w:jc w:val="center"/>
                    <w:rPr>
                      <w:rFonts w:hint="default"/>
                      <w:color w:val="auto"/>
                      <w:lang w:val="en-US" w:eastAsia="zh-CN"/>
                    </w:rPr>
                  </w:pPr>
                  <w:r>
                    <w:rPr>
                      <w:rFonts w:hint="eastAsia"/>
                      <w:color w:val="auto"/>
                      <w:lang w:val="en-US" w:eastAsia="zh-CN"/>
                    </w:rPr>
                    <w:t>项目不占用长江流域河湖岸线</w:t>
                  </w:r>
                </w:p>
              </w:tc>
              <w:tc>
                <w:tcPr>
                  <w:tcW w:w="851" w:type="dxa"/>
                  <w:vAlign w:val="center"/>
                </w:tcPr>
                <w:p>
                  <w:pPr>
                    <w:bidi w:val="0"/>
                    <w:jc w:val="center"/>
                    <w:rPr>
                      <w:rFonts w:hint="default"/>
                      <w:color w:val="auto"/>
                      <w:lang w:val="en-US" w:eastAsia="zh-CN"/>
                    </w:rPr>
                  </w:pPr>
                  <w:r>
                    <w:rPr>
                      <w:rFonts w:hint="default"/>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8" w:type="dxa"/>
                  <w:vAlign w:val="center"/>
                </w:tcPr>
                <w:p>
                  <w:pPr>
                    <w:bidi w:val="0"/>
                    <w:jc w:val="center"/>
                    <w:rPr>
                      <w:rFonts w:hint="eastAsia"/>
                      <w:color w:val="auto"/>
                      <w:lang w:val="en-US" w:eastAsia="zh-CN"/>
                    </w:rPr>
                  </w:pPr>
                  <w:r>
                    <w:rPr>
                      <w:rFonts w:hint="eastAsia"/>
                      <w:color w:val="auto"/>
                      <w:lang w:val="en-US" w:eastAsia="zh-CN"/>
                    </w:rPr>
                    <w:t>八、禁止在《全国重要江河湖泊水功能区划》划定的河段及湖泊保护区、保留区内投资建设不利于水资源及自然生态保护的项目。禁止在金沙江、长江一级支流建设除党中央、国务院、国家投资主管部门、省级有关部门批复同意以外的过江基础设施项目；禁止未经许可在长江流域、九大高原湖泊流域新设、改设或扩大排污口，除入河（海）排污口命名与编码规则（HJ1235-2021）规定的第四类“其他排口”外。禁止在水产种质资源保护区内新建排污口，以及从事围湖造田、围湖造地或围填海工程。</w:t>
                  </w:r>
                </w:p>
              </w:tc>
              <w:tc>
                <w:tcPr>
                  <w:tcW w:w="1243" w:type="dxa"/>
                  <w:vAlign w:val="center"/>
                </w:tcPr>
                <w:p>
                  <w:pPr>
                    <w:bidi w:val="0"/>
                    <w:jc w:val="center"/>
                    <w:rPr>
                      <w:rFonts w:hint="eastAsia"/>
                      <w:color w:val="auto"/>
                      <w:lang w:val="en-US" w:eastAsia="zh-CN"/>
                    </w:rPr>
                  </w:pPr>
                  <w:r>
                    <w:rPr>
                      <w:rFonts w:hint="eastAsia"/>
                      <w:color w:val="auto"/>
                      <w:lang w:val="en-US" w:eastAsia="zh-CN"/>
                    </w:rPr>
                    <w:t>项目不涉及</w:t>
                  </w:r>
                </w:p>
              </w:tc>
              <w:tc>
                <w:tcPr>
                  <w:tcW w:w="851" w:type="dxa"/>
                  <w:vAlign w:val="center"/>
                </w:tcPr>
                <w:p>
                  <w:pPr>
                    <w:bidi w:val="0"/>
                    <w:jc w:val="cente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8" w:type="dxa"/>
                  <w:vAlign w:val="center"/>
                </w:tcPr>
                <w:p>
                  <w:pPr>
                    <w:bidi w:val="0"/>
                    <w:jc w:val="center"/>
                    <w:rPr>
                      <w:rFonts w:hint="eastAsia"/>
                      <w:color w:val="auto"/>
                      <w:lang w:val="en-US" w:eastAsia="zh-CN"/>
                    </w:rPr>
                  </w:pPr>
                  <w:r>
                    <w:rPr>
                      <w:rFonts w:hint="eastAsia"/>
                      <w:color w:val="auto"/>
                      <w:lang w:val="en-US" w:eastAsia="zh-CN"/>
                    </w:rPr>
                    <w:t>九、禁止在金沙江、赤水河、乌江和等水生动植物自然保护区、水产种质资源保护区长江流域禁捕水域开展天然渔业资源生产性捕捞。禁止开（围）垦、填埋或者排干湿地；禁止截断湿地水源、挖沙、采矿、引入外来物种；禁止擅自放牧、捕捞、取土、取水、排污、放生；禁止其他破坏湿地及其生态功能的活动。</w:t>
                  </w:r>
                </w:p>
              </w:tc>
              <w:tc>
                <w:tcPr>
                  <w:tcW w:w="1243" w:type="dxa"/>
                  <w:vAlign w:val="center"/>
                </w:tcPr>
                <w:p>
                  <w:pPr>
                    <w:bidi w:val="0"/>
                    <w:jc w:val="center"/>
                    <w:rPr>
                      <w:rFonts w:hint="eastAsia"/>
                      <w:color w:val="auto"/>
                      <w:lang w:val="en-US" w:eastAsia="zh-CN"/>
                    </w:rPr>
                  </w:pPr>
                  <w:r>
                    <w:rPr>
                      <w:rFonts w:hint="eastAsia"/>
                      <w:color w:val="auto"/>
                      <w:lang w:val="en-US" w:eastAsia="zh-CN"/>
                    </w:rPr>
                    <w:t>项目不涉及</w:t>
                  </w:r>
                </w:p>
              </w:tc>
              <w:tc>
                <w:tcPr>
                  <w:tcW w:w="851" w:type="dxa"/>
                  <w:vAlign w:val="center"/>
                </w:tcPr>
                <w:p>
                  <w:pPr>
                    <w:bidi w:val="0"/>
                    <w:jc w:val="cente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8" w:type="dxa"/>
                  <w:vAlign w:val="center"/>
                </w:tcPr>
                <w:p>
                  <w:pPr>
                    <w:bidi w:val="0"/>
                    <w:jc w:val="center"/>
                    <w:rPr>
                      <w:rFonts w:hint="eastAsia"/>
                      <w:color w:val="auto"/>
                      <w:lang w:val="en-US" w:eastAsia="zh-CN"/>
                    </w:rPr>
                  </w:pPr>
                  <w:r>
                    <w:rPr>
                      <w:rFonts w:hint="eastAsia"/>
                      <w:color w:val="auto"/>
                      <w:lang w:val="en-US" w:eastAsia="zh-CN"/>
                    </w:rPr>
                    <w:t>十、禁止在金沙江、长江一级支流岸线边界一公里范围内新建、扩建化工园区和化工项目。新建化工园区充分留足与周边城镇未来扩张发展的安全距离，立足于生态工业园区建设方向，推广绿色化学和绿色化工发展模式。化工园区设立及园区产业发展规划由省级业务主管部门牵头组织专家论证后审定。</w:t>
                  </w:r>
                </w:p>
              </w:tc>
              <w:tc>
                <w:tcPr>
                  <w:tcW w:w="1243" w:type="dxa"/>
                  <w:vAlign w:val="center"/>
                </w:tcPr>
                <w:p>
                  <w:pPr>
                    <w:bidi w:val="0"/>
                    <w:jc w:val="center"/>
                    <w:rPr>
                      <w:rFonts w:hint="eastAsia"/>
                      <w:color w:val="auto"/>
                      <w:lang w:val="en-US" w:eastAsia="zh-CN"/>
                    </w:rPr>
                  </w:pPr>
                  <w:r>
                    <w:rPr>
                      <w:rFonts w:hint="eastAsia"/>
                      <w:color w:val="auto"/>
                      <w:lang w:val="en-US" w:eastAsia="zh-CN"/>
                    </w:rPr>
                    <w:t>项目不涉及</w:t>
                  </w:r>
                </w:p>
              </w:tc>
              <w:tc>
                <w:tcPr>
                  <w:tcW w:w="851" w:type="dxa"/>
                  <w:vAlign w:val="center"/>
                </w:tcPr>
                <w:p>
                  <w:pPr>
                    <w:bidi w:val="0"/>
                    <w:jc w:val="cente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8" w:type="dxa"/>
                  <w:vAlign w:val="center"/>
                </w:tcPr>
                <w:p>
                  <w:pPr>
                    <w:bidi w:val="0"/>
                    <w:jc w:val="center"/>
                    <w:rPr>
                      <w:rFonts w:hint="default"/>
                      <w:color w:val="auto"/>
                      <w:lang w:val="en-US" w:eastAsia="zh-CN"/>
                    </w:rPr>
                  </w:pPr>
                  <w:r>
                    <w:rPr>
                      <w:rFonts w:hint="eastAsia"/>
                      <w:color w:val="auto"/>
                      <w:lang w:val="en-US" w:eastAsia="zh-CN"/>
                    </w:rPr>
                    <w:t>十一、禁止在金沙江干流岸线3公里、长江（金沙江）一级支流岸线1公里范围内新建、改建、扩建尾矿库、冶炼渣库和磷石膏库，以提升安全、生态环境保护水平为目的的改建除外。</w:t>
                  </w:r>
                </w:p>
              </w:tc>
              <w:tc>
                <w:tcPr>
                  <w:tcW w:w="1243" w:type="dxa"/>
                  <w:vAlign w:val="center"/>
                </w:tcPr>
                <w:p>
                  <w:pPr>
                    <w:bidi w:val="0"/>
                    <w:jc w:val="center"/>
                    <w:rPr>
                      <w:rFonts w:hint="eastAsia"/>
                      <w:color w:val="auto"/>
                      <w:lang w:val="en-US" w:eastAsia="zh-CN"/>
                    </w:rPr>
                  </w:pPr>
                  <w:r>
                    <w:rPr>
                      <w:rFonts w:hint="eastAsia"/>
                      <w:color w:val="auto"/>
                      <w:lang w:val="en-US" w:eastAsia="zh-CN"/>
                    </w:rPr>
                    <w:t>项目不涉及</w:t>
                  </w:r>
                </w:p>
              </w:tc>
              <w:tc>
                <w:tcPr>
                  <w:tcW w:w="851" w:type="dxa"/>
                  <w:vAlign w:val="center"/>
                </w:tcPr>
                <w:p>
                  <w:pPr>
                    <w:bidi w:val="0"/>
                    <w:jc w:val="cente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8" w:type="dxa"/>
                  <w:vAlign w:val="center"/>
                </w:tcPr>
                <w:p>
                  <w:pPr>
                    <w:bidi w:val="0"/>
                    <w:jc w:val="center"/>
                    <w:rPr>
                      <w:rFonts w:hint="eastAsia"/>
                      <w:color w:val="auto"/>
                      <w:lang w:val="en-US" w:eastAsia="zh-CN"/>
                    </w:rPr>
                  </w:pPr>
                  <w:r>
                    <w:rPr>
                      <w:rFonts w:hint="eastAsia"/>
                      <w:color w:val="auto"/>
                      <w:lang w:val="en-US" w:eastAsia="zh-CN"/>
                    </w:rPr>
                    <w:t>十二、禁止在合规园区外新建、扩建钢铁、石化、焦化、建材、有色、制浆、造纸等高污染项目。禁止新增钢铁、水泥、平板玻璃等行业建设产能，确有必要建设的，应按规定实施产能等量或减量置换。</w:t>
                  </w:r>
                </w:p>
              </w:tc>
              <w:tc>
                <w:tcPr>
                  <w:tcW w:w="1243" w:type="dxa"/>
                  <w:vAlign w:val="center"/>
                </w:tcPr>
                <w:p>
                  <w:pPr>
                    <w:bidi w:val="0"/>
                    <w:jc w:val="center"/>
                    <w:rPr>
                      <w:rFonts w:hint="eastAsia"/>
                      <w:color w:val="auto"/>
                      <w:lang w:val="en-US" w:eastAsia="zh-CN"/>
                    </w:rPr>
                  </w:pPr>
                  <w:r>
                    <w:rPr>
                      <w:rFonts w:hint="eastAsia"/>
                      <w:color w:val="auto"/>
                      <w:lang w:val="en-US" w:eastAsia="zh-CN"/>
                    </w:rPr>
                    <w:t>项目不涉及</w:t>
                  </w:r>
                </w:p>
              </w:tc>
              <w:tc>
                <w:tcPr>
                  <w:tcW w:w="851" w:type="dxa"/>
                  <w:vAlign w:val="center"/>
                </w:tcPr>
                <w:p>
                  <w:pPr>
                    <w:bidi w:val="0"/>
                    <w:jc w:val="cente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8" w:type="dxa"/>
                  <w:vAlign w:val="center"/>
                </w:tcPr>
                <w:p>
                  <w:pPr>
                    <w:bidi w:val="0"/>
                    <w:jc w:val="center"/>
                    <w:rPr>
                      <w:rFonts w:hint="default"/>
                      <w:color w:val="auto"/>
                      <w:lang w:val="en-US" w:eastAsia="zh-CN"/>
                    </w:rPr>
                  </w:pPr>
                  <w:r>
                    <w:rPr>
                      <w:rFonts w:hint="eastAsia"/>
                      <w:color w:val="auto"/>
                      <w:lang w:val="en-US" w:eastAsia="zh-CN"/>
                    </w:rPr>
                    <w:t>十三、禁止新建、扩建不符合国家石化、现代煤化工等产业布局规划的项目。禁止列入《云南省城镇人口密集区危险化学品生产企业搬迁改造名单》的搬迁改造企业在原址新建、扩建危险化学品生产项目，加强搬迁入园、关闭退出企业腾退土地污染风险管控和治理修复，确保腾退土地符合规划用地土壤环境质量标准</w:t>
                  </w:r>
                </w:p>
              </w:tc>
              <w:tc>
                <w:tcPr>
                  <w:tcW w:w="1243" w:type="dxa"/>
                  <w:vAlign w:val="center"/>
                </w:tcPr>
                <w:p>
                  <w:pPr>
                    <w:bidi w:val="0"/>
                    <w:jc w:val="center"/>
                    <w:rPr>
                      <w:rFonts w:hint="eastAsia"/>
                      <w:color w:val="auto"/>
                      <w:lang w:val="en-US" w:eastAsia="zh-CN"/>
                    </w:rPr>
                  </w:pPr>
                  <w:r>
                    <w:rPr>
                      <w:rFonts w:hint="eastAsia"/>
                      <w:color w:val="auto"/>
                      <w:lang w:val="en-US" w:eastAsia="zh-CN"/>
                    </w:rPr>
                    <w:t>项目不涉及</w:t>
                  </w:r>
                </w:p>
              </w:tc>
              <w:tc>
                <w:tcPr>
                  <w:tcW w:w="851" w:type="dxa"/>
                  <w:vAlign w:val="center"/>
                </w:tcPr>
                <w:p>
                  <w:pPr>
                    <w:bidi w:val="0"/>
                    <w:jc w:val="center"/>
                    <w:rPr>
                      <w:rFonts w:hint="eastAsia"/>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8" w:type="dxa"/>
                  <w:vAlign w:val="center"/>
                </w:tcPr>
                <w:p>
                  <w:pPr>
                    <w:bidi w:val="0"/>
                    <w:jc w:val="center"/>
                    <w:rPr>
                      <w:rFonts w:hint="default"/>
                      <w:color w:val="auto"/>
                      <w:lang w:val="en-US" w:eastAsia="zh-CN"/>
                    </w:rPr>
                  </w:pPr>
                  <w:r>
                    <w:rPr>
                      <w:rFonts w:hint="eastAsia"/>
                      <w:color w:val="auto"/>
                      <w:lang w:val="en-US" w:eastAsia="zh-CN"/>
                    </w:rPr>
                    <w:t>十四、禁止新建、扩建法律法规和相关政策明令禁止的落后产能项目，依法依规淘汰不符合要求的电石炉及开放式电石炉，无化产回收的单一炼焦生产设施，依法依规淘汰不符合要求的硫铁矿制酸、硫磺制酸、黄磷生产、有钙焙烧铬化物生产装置和有机-无机复混肥料、过磷酸钙和钙镁磷肥生产线。禁止新建、扩建不符合国家产能置换要求的严重过剩产能行业的项目。禁止新建、扩建不符合要求的高耗能高排放项目。禁止建设高毒高残留以及对环境影响大的农药原药生产装置，严格控制尿素、磷铵、电石、焦炭、黄磷、烧碱、纯碱、聚氯乙烯等行业新增产能。</w:t>
                  </w:r>
                </w:p>
              </w:tc>
              <w:tc>
                <w:tcPr>
                  <w:tcW w:w="1243" w:type="dxa"/>
                  <w:vAlign w:val="center"/>
                </w:tcPr>
                <w:p>
                  <w:pPr>
                    <w:bidi w:val="0"/>
                    <w:jc w:val="center"/>
                    <w:rPr>
                      <w:rFonts w:hint="eastAsia"/>
                      <w:color w:val="auto"/>
                      <w:lang w:val="en-US" w:eastAsia="zh-CN"/>
                    </w:rPr>
                  </w:pPr>
                  <w:r>
                    <w:rPr>
                      <w:rFonts w:hint="eastAsia"/>
                      <w:color w:val="auto"/>
                      <w:lang w:val="en-US" w:eastAsia="zh-CN"/>
                    </w:rPr>
                    <w:t>项目不涉及</w:t>
                  </w:r>
                </w:p>
              </w:tc>
              <w:tc>
                <w:tcPr>
                  <w:tcW w:w="851" w:type="dxa"/>
                  <w:vAlign w:val="center"/>
                </w:tcPr>
                <w:p>
                  <w:pPr>
                    <w:bidi w:val="0"/>
                    <w:jc w:val="center"/>
                    <w:rPr>
                      <w:rFonts w:hint="eastAsia"/>
                      <w:color w:val="auto"/>
                      <w:lang w:val="en-US" w:eastAsia="zh-CN"/>
                    </w:rPr>
                  </w:pPr>
                  <w:r>
                    <w:rPr>
                      <w:rFonts w:hint="eastAsia"/>
                      <w:color w:val="auto"/>
                      <w:lang w:val="en-US" w:eastAsia="zh-CN"/>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综上所述，本项目的建设符合《云南省长江经济带发展负面清单指南实施细则》</w:t>
            </w:r>
            <w:r>
              <w:rPr>
                <w:rFonts w:hint="eastAsia" w:ascii="Times New Roman" w:hAnsi="Times New Roman" w:eastAsia="宋体" w:cs="Times New Roman"/>
                <w:color w:val="auto"/>
                <w:sz w:val="24"/>
                <w:szCs w:val="24"/>
                <w:lang w:val="en-US" w:eastAsia="zh-CN"/>
              </w:rPr>
              <w:t>（试行 2022年版）</w:t>
            </w:r>
            <w:r>
              <w:rPr>
                <w:rFonts w:hint="default" w:ascii="Times New Roman" w:hAnsi="Times New Roman" w:eastAsia="宋体" w:cs="Times New Roman"/>
                <w:color w:val="auto"/>
                <w:sz w:val="24"/>
                <w:szCs w:val="24"/>
                <w:lang w:val="en-US" w:eastAsia="zh-CN"/>
              </w:rPr>
              <w:t>的相关要求。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lang w:val="en-US" w:eastAsia="zh-CN"/>
              </w:rPr>
              <w:t>、与《大理州打赢蓝天保卫战三年行动实施方案》（大政发[2018]57号）的符合性分析</w:t>
            </w:r>
          </w:p>
          <w:p>
            <w:pPr>
              <w:bidi w:val="0"/>
              <w:jc w:val="center"/>
              <w:rPr>
                <w:rFonts w:hint="default"/>
                <w:b/>
                <w:bCs/>
                <w:color w:val="auto"/>
                <w:lang w:val="en-US" w:eastAsia="zh-CN"/>
              </w:rPr>
            </w:pPr>
            <w:r>
              <w:rPr>
                <w:rFonts w:hint="default"/>
                <w:b/>
                <w:bCs/>
                <w:color w:val="auto"/>
                <w:lang w:val="en-US" w:eastAsia="zh-CN"/>
              </w:rPr>
              <w:t>表1-</w:t>
            </w:r>
            <w:r>
              <w:rPr>
                <w:rFonts w:hint="eastAsia"/>
                <w:b/>
                <w:bCs/>
                <w:color w:val="auto"/>
                <w:lang w:val="en-US" w:eastAsia="zh-CN"/>
              </w:rPr>
              <w:t>10</w:t>
            </w:r>
            <w:r>
              <w:rPr>
                <w:rFonts w:hint="default"/>
                <w:b/>
                <w:bCs/>
                <w:color w:val="auto"/>
                <w:lang w:val="en-US" w:eastAsia="zh-CN"/>
              </w:rPr>
              <w:t xml:space="preserve">  项目与大政发[2018]57号文件符合性</w:t>
            </w:r>
          </w:p>
          <w:tbl>
            <w:tblPr>
              <w:tblStyle w:val="7"/>
              <w:tblW w:w="6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636"/>
              <w:gridCol w:w="3225"/>
              <w:gridCol w:w="1612"/>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 w:type="dxa"/>
                  <w:vAlign w:val="center"/>
                </w:tcPr>
                <w:p>
                  <w:pPr>
                    <w:bidi w:val="0"/>
                    <w:jc w:val="center"/>
                    <w:rPr>
                      <w:rFonts w:hint="default"/>
                      <w:b/>
                      <w:bCs/>
                      <w:color w:val="auto"/>
                      <w:lang w:val="en-US" w:eastAsia="zh-CN"/>
                    </w:rPr>
                  </w:pPr>
                  <w:r>
                    <w:rPr>
                      <w:rFonts w:hint="default"/>
                      <w:b/>
                      <w:bCs/>
                      <w:color w:val="auto"/>
                      <w:lang w:val="en-US" w:eastAsia="zh-CN"/>
                    </w:rPr>
                    <w:t>序号</w:t>
                  </w:r>
                </w:p>
              </w:tc>
              <w:tc>
                <w:tcPr>
                  <w:tcW w:w="3861" w:type="dxa"/>
                  <w:gridSpan w:val="2"/>
                  <w:vAlign w:val="center"/>
                </w:tcPr>
                <w:p>
                  <w:pPr>
                    <w:bidi w:val="0"/>
                    <w:jc w:val="center"/>
                    <w:rPr>
                      <w:rFonts w:hint="default"/>
                      <w:b/>
                      <w:bCs/>
                      <w:color w:val="auto"/>
                      <w:lang w:val="en-US" w:eastAsia="zh-CN"/>
                    </w:rPr>
                  </w:pPr>
                  <w:r>
                    <w:rPr>
                      <w:rFonts w:hint="default"/>
                      <w:b/>
                      <w:bCs/>
                      <w:color w:val="auto"/>
                      <w:lang w:val="en-US" w:eastAsia="zh-CN"/>
                    </w:rPr>
                    <w:t>实施方案相关内容</w:t>
                  </w:r>
                </w:p>
              </w:tc>
              <w:tc>
                <w:tcPr>
                  <w:tcW w:w="1612" w:type="dxa"/>
                  <w:vAlign w:val="center"/>
                </w:tcPr>
                <w:p>
                  <w:pPr>
                    <w:bidi w:val="0"/>
                    <w:jc w:val="center"/>
                    <w:rPr>
                      <w:rFonts w:hint="default"/>
                      <w:b/>
                      <w:bCs/>
                      <w:color w:val="auto"/>
                      <w:lang w:val="en-US" w:eastAsia="zh-CN"/>
                    </w:rPr>
                  </w:pPr>
                  <w:r>
                    <w:rPr>
                      <w:rFonts w:hint="default"/>
                      <w:b/>
                      <w:bCs/>
                      <w:color w:val="auto"/>
                      <w:lang w:val="en-US" w:eastAsia="zh-CN"/>
                    </w:rPr>
                    <w:t>建设项目情况</w:t>
                  </w:r>
                </w:p>
              </w:tc>
              <w:tc>
                <w:tcPr>
                  <w:tcW w:w="713" w:type="dxa"/>
                  <w:vAlign w:val="center"/>
                </w:tcPr>
                <w:p>
                  <w:pPr>
                    <w:bidi w:val="0"/>
                    <w:jc w:val="center"/>
                    <w:rPr>
                      <w:rFonts w:hint="default"/>
                      <w:b/>
                      <w:bCs/>
                      <w:color w:val="auto"/>
                      <w:lang w:val="en-US" w:eastAsia="zh-CN"/>
                    </w:rPr>
                  </w:pPr>
                  <w:r>
                    <w:rPr>
                      <w:rFonts w:hint="default"/>
                      <w:b/>
                      <w:bCs/>
                      <w:color w:val="auto"/>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 w:type="dxa"/>
                  <w:vAlign w:val="center"/>
                </w:tcPr>
                <w:p>
                  <w:pPr>
                    <w:bidi w:val="0"/>
                    <w:jc w:val="center"/>
                    <w:rPr>
                      <w:rFonts w:hint="default"/>
                      <w:color w:val="auto"/>
                      <w:lang w:val="en-US" w:eastAsia="zh-CN"/>
                    </w:rPr>
                  </w:pPr>
                  <w:r>
                    <w:rPr>
                      <w:rFonts w:hint="default"/>
                      <w:color w:val="auto"/>
                      <w:lang w:val="en-US" w:eastAsia="zh-CN"/>
                    </w:rPr>
                    <w:t>1</w:t>
                  </w:r>
                </w:p>
              </w:tc>
              <w:tc>
                <w:tcPr>
                  <w:tcW w:w="636" w:type="dxa"/>
                  <w:vAlign w:val="center"/>
                </w:tcPr>
                <w:p>
                  <w:pPr>
                    <w:bidi w:val="0"/>
                    <w:jc w:val="center"/>
                    <w:rPr>
                      <w:rFonts w:hint="default"/>
                      <w:color w:val="auto"/>
                      <w:lang w:val="en-US" w:eastAsia="zh-CN"/>
                    </w:rPr>
                  </w:pPr>
                  <w:r>
                    <w:rPr>
                      <w:rFonts w:hint="default"/>
                      <w:color w:val="auto"/>
                      <w:lang w:val="en-US" w:eastAsia="zh-CN"/>
                    </w:rPr>
                    <w:t>一、优化产业布局</w:t>
                  </w:r>
                </w:p>
              </w:tc>
              <w:tc>
                <w:tcPr>
                  <w:tcW w:w="3225" w:type="dxa"/>
                  <w:vAlign w:val="center"/>
                </w:tcPr>
                <w:p>
                  <w:pPr>
                    <w:bidi w:val="0"/>
                    <w:jc w:val="center"/>
                    <w:rPr>
                      <w:rFonts w:hint="default"/>
                      <w:color w:val="auto"/>
                      <w:lang w:val="en-US" w:eastAsia="zh-CN"/>
                    </w:rPr>
                  </w:pPr>
                  <w:r>
                    <w:rPr>
                      <w:rFonts w:hint="default"/>
                      <w:color w:val="auto"/>
                      <w:lang w:val="en-US" w:eastAsia="zh-CN"/>
                    </w:rPr>
                    <w:t>完成生态保护红线、环境质量底线、资源利用上线和环境准入清单编制工作，明确禁止和限制发展的行业、生产工艺和产业目录。积极推行区域、规划环境影响评价、新、改、扩建钢铁、化工、建材、有色金属等项目的环境影响评价，应满足区域、规划环评要求。加大区域产业布局调整力度。加快大理市及县城建成区重污染企业搬迁改造或关闭退出，2019年3月前，各县、市人民政府要制定专项计划并向社会公开，2020年底前完成12个县市政府所在地城市建成区重污染企业搬迁改造或关闭退出。各县、市已明确的退城企业，要明确时间表，逾期不退的予以停产。</w:t>
                  </w:r>
                </w:p>
              </w:tc>
              <w:tc>
                <w:tcPr>
                  <w:tcW w:w="1612" w:type="dxa"/>
                  <w:vAlign w:val="center"/>
                </w:tcPr>
                <w:p>
                  <w:pPr>
                    <w:bidi w:val="0"/>
                    <w:jc w:val="center"/>
                    <w:rPr>
                      <w:rFonts w:hint="default"/>
                      <w:color w:val="auto"/>
                      <w:lang w:val="en-US" w:eastAsia="zh-CN"/>
                    </w:rPr>
                  </w:pPr>
                  <w:r>
                    <w:rPr>
                      <w:rFonts w:hint="eastAsia"/>
                      <w:color w:val="auto"/>
                      <w:lang w:val="en-US" w:eastAsia="zh-CN"/>
                    </w:rPr>
                    <w:t>项目不涉及上述行业</w:t>
                  </w:r>
                </w:p>
              </w:tc>
              <w:tc>
                <w:tcPr>
                  <w:tcW w:w="713" w:type="dxa"/>
                  <w:vAlign w:val="center"/>
                </w:tcPr>
                <w:p>
                  <w:pPr>
                    <w:bidi w:val="0"/>
                    <w:jc w:val="center"/>
                    <w:rPr>
                      <w:rFonts w:hint="default"/>
                      <w:color w:val="auto"/>
                      <w:lang w:val="en-US" w:eastAsia="zh-CN"/>
                    </w:rPr>
                  </w:pPr>
                  <w:r>
                    <w:rPr>
                      <w:rFonts w:hint="default"/>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 w:type="dxa"/>
                  <w:vAlign w:val="center"/>
                </w:tcPr>
                <w:p>
                  <w:pPr>
                    <w:bidi w:val="0"/>
                    <w:jc w:val="center"/>
                    <w:rPr>
                      <w:rFonts w:hint="default"/>
                      <w:color w:val="auto"/>
                      <w:lang w:val="en-US" w:eastAsia="zh-CN"/>
                    </w:rPr>
                  </w:pPr>
                  <w:r>
                    <w:rPr>
                      <w:rFonts w:hint="default"/>
                      <w:color w:val="auto"/>
                      <w:lang w:val="en-US" w:eastAsia="zh-CN"/>
                    </w:rPr>
                    <w:t>2</w:t>
                  </w:r>
                </w:p>
              </w:tc>
              <w:tc>
                <w:tcPr>
                  <w:tcW w:w="636" w:type="dxa"/>
                  <w:vAlign w:val="center"/>
                </w:tcPr>
                <w:p>
                  <w:pPr>
                    <w:bidi w:val="0"/>
                    <w:jc w:val="center"/>
                    <w:rPr>
                      <w:rFonts w:hint="default"/>
                      <w:color w:val="auto"/>
                      <w:lang w:val="en-US" w:eastAsia="zh-CN"/>
                    </w:rPr>
                  </w:pPr>
                  <w:r>
                    <w:rPr>
                      <w:rFonts w:hint="default"/>
                      <w:color w:val="auto"/>
                      <w:lang w:val="en-US" w:eastAsia="zh-CN"/>
                    </w:rPr>
                    <w:t>二、严控“两高”行业产能</w:t>
                  </w:r>
                </w:p>
              </w:tc>
              <w:tc>
                <w:tcPr>
                  <w:tcW w:w="3225" w:type="dxa"/>
                  <w:vAlign w:val="center"/>
                </w:tcPr>
                <w:p>
                  <w:pPr>
                    <w:bidi w:val="0"/>
                    <w:jc w:val="center"/>
                    <w:rPr>
                      <w:rFonts w:hint="default"/>
                      <w:color w:val="auto"/>
                      <w:lang w:val="en-US" w:eastAsia="zh-CN"/>
                    </w:rPr>
                  </w:pPr>
                  <w:r>
                    <w:rPr>
                      <w:rFonts w:hint="default"/>
                      <w:color w:val="auto"/>
                      <w:lang w:val="en-US" w:eastAsia="zh-CN"/>
                    </w:rPr>
                    <w:t>严格执行钢铁、水泥、平板玻璃行业产能置换实施办法。加大落后产能淘汰和过剩产能压减力度。严格执行质量、环保、能耗、安全等法规标准，落实国家《产业结构调整指导目录》。严防“地条钢”死灰复燃。列入去产能计划的钢铁企业，需一并退出配套的烧结、焦炉、高炉等设备。</w:t>
                  </w:r>
                </w:p>
              </w:tc>
              <w:tc>
                <w:tcPr>
                  <w:tcW w:w="1612" w:type="dxa"/>
                  <w:vAlign w:val="center"/>
                </w:tcPr>
                <w:p>
                  <w:pPr>
                    <w:bidi w:val="0"/>
                    <w:jc w:val="center"/>
                    <w:rPr>
                      <w:rFonts w:hint="default"/>
                      <w:color w:val="auto"/>
                      <w:lang w:val="en-US" w:eastAsia="zh-CN"/>
                    </w:rPr>
                  </w:pPr>
                  <w:r>
                    <w:rPr>
                      <w:rFonts w:hint="eastAsia"/>
                      <w:color w:val="auto"/>
                      <w:lang w:val="en-US" w:eastAsia="zh-CN"/>
                    </w:rPr>
                    <w:t>项目不涉及上述行业</w:t>
                  </w:r>
                </w:p>
              </w:tc>
              <w:tc>
                <w:tcPr>
                  <w:tcW w:w="713" w:type="dxa"/>
                  <w:vAlign w:val="center"/>
                </w:tcPr>
                <w:p>
                  <w:pPr>
                    <w:bidi w:val="0"/>
                    <w:jc w:val="center"/>
                    <w:rPr>
                      <w:rFonts w:hint="default"/>
                      <w:color w:val="auto"/>
                      <w:lang w:val="en-US" w:eastAsia="zh-CN"/>
                    </w:rPr>
                  </w:pPr>
                  <w:r>
                    <w:rPr>
                      <w:rFonts w:hint="default"/>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 w:type="dxa"/>
                  <w:vAlign w:val="center"/>
                </w:tcPr>
                <w:p>
                  <w:pPr>
                    <w:bidi w:val="0"/>
                    <w:jc w:val="center"/>
                    <w:rPr>
                      <w:rFonts w:hint="default"/>
                      <w:color w:val="auto"/>
                      <w:lang w:val="en-US" w:eastAsia="zh-CN"/>
                    </w:rPr>
                  </w:pPr>
                  <w:r>
                    <w:rPr>
                      <w:rFonts w:hint="default"/>
                      <w:color w:val="auto"/>
                      <w:lang w:val="en-US" w:eastAsia="zh-CN"/>
                    </w:rPr>
                    <w:t>3</w:t>
                  </w:r>
                </w:p>
              </w:tc>
              <w:tc>
                <w:tcPr>
                  <w:tcW w:w="636" w:type="dxa"/>
                  <w:vAlign w:val="center"/>
                </w:tcPr>
                <w:p>
                  <w:pPr>
                    <w:bidi w:val="0"/>
                    <w:jc w:val="center"/>
                    <w:rPr>
                      <w:rFonts w:hint="default"/>
                      <w:color w:val="auto"/>
                      <w:lang w:val="en-US" w:eastAsia="zh-CN"/>
                    </w:rPr>
                  </w:pPr>
                  <w:r>
                    <w:rPr>
                      <w:rFonts w:hint="default"/>
                      <w:color w:val="auto"/>
                      <w:lang w:val="en-US" w:eastAsia="zh-CN"/>
                    </w:rPr>
                    <w:t>三、强化“散乱污”企业综合整治</w:t>
                  </w:r>
                </w:p>
              </w:tc>
              <w:tc>
                <w:tcPr>
                  <w:tcW w:w="3225" w:type="dxa"/>
                  <w:vAlign w:val="center"/>
                </w:tcPr>
                <w:p>
                  <w:pPr>
                    <w:bidi w:val="0"/>
                    <w:jc w:val="center"/>
                    <w:rPr>
                      <w:rFonts w:hint="default"/>
                      <w:color w:val="auto"/>
                      <w:lang w:val="en-US" w:eastAsia="zh-CN"/>
                    </w:rPr>
                  </w:pPr>
                  <w:r>
                    <w:rPr>
                      <w:rFonts w:hint="default"/>
                      <w:color w:val="auto"/>
                      <w:lang w:val="en-US" w:eastAsia="zh-CN"/>
                    </w:rPr>
                    <w:t>全面开展“散乱污”企业及集群综合整治行动。根据产业政策、产业布局规划，以及土地、环保、质量、安全、能耗等要求，制定“散乱污”企业及集群整治方案。实行拉网式排查，建立管理台账。按照“先停后治”的原则，实施分类处置。列入关停取缔类的，基本做到“两断三清”（切断工业用水、用电、清除原料、产品、生产设备）；列入整合搬迁类的，要按照产业发展规模化、现代化的原则，搬迁至工业园区并实施升级改造；列入升级改造类的，树立行业标杆，实施清洁生产技术改造，全面提升污染治理水平。建立“散乱污”企业动态管理机制，坚决杜绝“散乱污”企业项目建设和已取缔的“散乱污”企业异地转移、死灰复燃。全州2019年底前完成。</w:t>
                  </w:r>
                </w:p>
              </w:tc>
              <w:tc>
                <w:tcPr>
                  <w:tcW w:w="1612" w:type="dxa"/>
                  <w:vAlign w:val="center"/>
                </w:tcPr>
                <w:p>
                  <w:pPr>
                    <w:bidi w:val="0"/>
                    <w:jc w:val="center"/>
                    <w:rPr>
                      <w:rFonts w:hint="default"/>
                      <w:color w:val="auto"/>
                      <w:lang w:val="en-US" w:eastAsia="zh-CN"/>
                    </w:rPr>
                  </w:pPr>
                  <w:r>
                    <w:rPr>
                      <w:rFonts w:hint="eastAsia"/>
                      <w:color w:val="auto"/>
                      <w:lang w:val="en-US" w:eastAsia="zh-CN"/>
                    </w:rPr>
                    <w:t>项目为酒店布草洗涤，不属于“散乱污”企业综合整理内容</w:t>
                  </w:r>
                </w:p>
              </w:tc>
              <w:tc>
                <w:tcPr>
                  <w:tcW w:w="713" w:type="dxa"/>
                  <w:vAlign w:val="center"/>
                </w:tcPr>
                <w:p>
                  <w:pPr>
                    <w:bidi w:val="0"/>
                    <w:jc w:val="center"/>
                    <w:rPr>
                      <w:rFonts w:hint="default"/>
                      <w:color w:val="auto"/>
                      <w:lang w:val="en-US" w:eastAsia="zh-CN"/>
                    </w:rPr>
                  </w:pPr>
                  <w:r>
                    <w:rPr>
                      <w:rFonts w:hint="default"/>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 w:type="dxa"/>
                  <w:vMerge w:val="restart"/>
                  <w:vAlign w:val="center"/>
                </w:tcPr>
                <w:p>
                  <w:pPr>
                    <w:bidi w:val="0"/>
                    <w:jc w:val="center"/>
                    <w:rPr>
                      <w:rFonts w:hint="default"/>
                      <w:color w:val="auto"/>
                      <w:lang w:val="en-US" w:eastAsia="zh-CN"/>
                    </w:rPr>
                  </w:pPr>
                  <w:r>
                    <w:rPr>
                      <w:rFonts w:hint="default"/>
                      <w:color w:val="auto"/>
                      <w:lang w:val="en-US" w:eastAsia="zh-CN"/>
                    </w:rPr>
                    <w:t>4</w:t>
                  </w:r>
                </w:p>
              </w:tc>
              <w:tc>
                <w:tcPr>
                  <w:tcW w:w="636" w:type="dxa"/>
                  <w:vMerge w:val="restart"/>
                  <w:vAlign w:val="center"/>
                </w:tcPr>
                <w:p>
                  <w:pPr>
                    <w:bidi w:val="0"/>
                    <w:jc w:val="center"/>
                    <w:rPr>
                      <w:rFonts w:hint="default"/>
                      <w:color w:val="auto"/>
                      <w:lang w:val="en-US" w:eastAsia="zh-CN"/>
                    </w:rPr>
                  </w:pPr>
                  <w:r>
                    <w:rPr>
                      <w:rFonts w:hint="default"/>
                      <w:color w:val="auto"/>
                      <w:lang w:val="en-US" w:eastAsia="zh-CN"/>
                    </w:rPr>
                    <w:t>四、深化工业污染治理</w:t>
                  </w:r>
                </w:p>
              </w:tc>
              <w:tc>
                <w:tcPr>
                  <w:tcW w:w="3225" w:type="dxa"/>
                  <w:vAlign w:val="center"/>
                </w:tcPr>
                <w:p>
                  <w:pPr>
                    <w:bidi w:val="0"/>
                    <w:jc w:val="center"/>
                    <w:rPr>
                      <w:rFonts w:hint="default"/>
                      <w:color w:val="auto"/>
                      <w:lang w:val="en-US" w:eastAsia="zh-CN"/>
                    </w:rPr>
                  </w:pPr>
                  <w:r>
                    <w:rPr>
                      <w:rFonts w:hint="default"/>
                      <w:color w:val="auto"/>
                      <w:lang w:val="en-US" w:eastAsia="zh-CN"/>
                    </w:rPr>
                    <w:t>持续推进工业污染源全面达标排放，将烟气在线监测数据作为执法依据，加大超标处罚和联合惩戒力度，未达标排放的企业一律依法停产整治。建立覆盖所有固定污染源的企业排放许可制度，2020年底前，完成污染源分类管理名录规定的行业许可证核发。</w:t>
                  </w:r>
                </w:p>
              </w:tc>
              <w:tc>
                <w:tcPr>
                  <w:tcW w:w="1612" w:type="dxa"/>
                  <w:vAlign w:val="center"/>
                </w:tcPr>
                <w:p>
                  <w:pPr>
                    <w:bidi w:val="0"/>
                    <w:jc w:val="center"/>
                    <w:rPr>
                      <w:rFonts w:hint="default"/>
                      <w:color w:val="auto"/>
                      <w:lang w:val="en-US" w:eastAsia="zh-CN"/>
                    </w:rPr>
                  </w:pPr>
                  <w:r>
                    <w:rPr>
                      <w:rFonts w:hint="eastAsia"/>
                      <w:color w:val="auto"/>
                      <w:lang w:val="en-US" w:eastAsia="zh-CN"/>
                    </w:rPr>
                    <w:t>项目属于新建，待项目通过环评审批后，按照固定污染源企业排放许可制度，申请排污许可证</w:t>
                  </w:r>
                </w:p>
              </w:tc>
              <w:tc>
                <w:tcPr>
                  <w:tcW w:w="713" w:type="dxa"/>
                  <w:vAlign w:val="center"/>
                </w:tcPr>
                <w:p>
                  <w:pPr>
                    <w:bidi w:val="0"/>
                    <w:jc w:val="center"/>
                    <w:rPr>
                      <w:rFonts w:hint="default"/>
                      <w:color w:val="auto"/>
                      <w:lang w:val="en-US" w:eastAsia="zh-CN"/>
                    </w:rPr>
                  </w:pPr>
                  <w:r>
                    <w:rPr>
                      <w:rFonts w:hint="default"/>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 w:type="dxa"/>
                  <w:vMerge w:val="continue"/>
                  <w:vAlign w:val="center"/>
                </w:tcPr>
                <w:p>
                  <w:pPr>
                    <w:bidi w:val="0"/>
                    <w:jc w:val="center"/>
                    <w:rPr>
                      <w:rFonts w:hint="default"/>
                      <w:color w:val="auto"/>
                      <w:lang w:val="en-US" w:eastAsia="zh-CN"/>
                    </w:rPr>
                  </w:pPr>
                </w:p>
              </w:tc>
              <w:tc>
                <w:tcPr>
                  <w:tcW w:w="636" w:type="dxa"/>
                  <w:vMerge w:val="continue"/>
                  <w:vAlign w:val="center"/>
                </w:tcPr>
                <w:p>
                  <w:pPr>
                    <w:bidi w:val="0"/>
                    <w:jc w:val="center"/>
                    <w:rPr>
                      <w:rFonts w:hint="default"/>
                      <w:color w:val="auto"/>
                      <w:lang w:val="en-US" w:eastAsia="zh-CN"/>
                    </w:rPr>
                  </w:pPr>
                </w:p>
              </w:tc>
              <w:tc>
                <w:tcPr>
                  <w:tcW w:w="3225" w:type="dxa"/>
                  <w:vAlign w:val="center"/>
                </w:tcPr>
                <w:p>
                  <w:pPr>
                    <w:bidi w:val="0"/>
                    <w:jc w:val="center"/>
                    <w:rPr>
                      <w:rFonts w:hint="default"/>
                      <w:color w:val="auto"/>
                      <w:lang w:val="en-US" w:eastAsia="zh-CN"/>
                    </w:rPr>
                  </w:pPr>
                  <w:r>
                    <w:rPr>
                      <w:rFonts w:hint="default"/>
                      <w:color w:val="auto"/>
                      <w:lang w:val="en-US" w:eastAsia="zh-CN"/>
                    </w:rPr>
                    <w:t>推进重点行业污染治理升级改造。启动钢铁行业超低排放改造工作。加强钢铁、水泥、平板玻璃等重点行业脱硫、脱硝、除尘设施运行管理，确保污染治理设施正常运行，污染物达标排放。</w:t>
                  </w:r>
                </w:p>
              </w:tc>
              <w:tc>
                <w:tcPr>
                  <w:tcW w:w="1612" w:type="dxa"/>
                  <w:vAlign w:val="center"/>
                </w:tcPr>
                <w:p>
                  <w:pPr>
                    <w:bidi w:val="0"/>
                    <w:jc w:val="center"/>
                    <w:rPr>
                      <w:rFonts w:hint="default"/>
                      <w:color w:val="auto"/>
                      <w:lang w:val="en-US" w:eastAsia="zh-CN"/>
                    </w:rPr>
                  </w:pPr>
                  <w:r>
                    <w:rPr>
                      <w:rFonts w:hint="eastAsia"/>
                      <w:color w:val="auto"/>
                      <w:lang w:val="en-US" w:eastAsia="zh-CN"/>
                    </w:rPr>
                    <w:t>项目不涉及上述行业</w:t>
                  </w:r>
                </w:p>
              </w:tc>
              <w:tc>
                <w:tcPr>
                  <w:tcW w:w="713" w:type="dxa"/>
                  <w:vAlign w:val="center"/>
                </w:tcPr>
                <w:p>
                  <w:pPr>
                    <w:bidi w:val="0"/>
                    <w:jc w:val="cente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 w:type="dxa"/>
                  <w:vMerge w:val="continue"/>
                  <w:vAlign w:val="center"/>
                </w:tcPr>
                <w:p>
                  <w:pPr>
                    <w:bidi w:val="0"/>
                    <w:jc w:val="center"/>
                    <w:rPr>
                      <w:rFonts w:hint="default"/>
                      <w:color w:val="auto"/>
                      <w:lang w:val="en-US" w:eastAsia="zh-CN"/>
                    </w:rPr>
                  </w:pPr>
                </w:p>
              </w:tc>
              <w:tc>
                <w:tcPr>
                  <w:tcW w:w="636" w:type="dxa"/>
                  <w:vMerge w:val="continue"/>
                  <w:vAlign w:val="center"/>
                </w:tcPr>
                <w:p>
                  <w:pPr>
                    <w:bidi w:val="0"/>
                    <w:jc w:val="center"/>
                    <w:rPr>
                      <w:rFonts w:hint="default"/>
                      <w:color w:val="auto"/>
                      <w:lang w:val="en-US" w:eastAsia="zh-CN"/>
                    </w:rPr>
                  </w:pPr>
                </w:p>
              </w:tc>
              <w:tc>
                <w:tcPr>
                  <w:tcW w:w="3225" w:type="dxa"/>
                  <w:vAlign w:val="center"/>
                </w:tcPr>
                <w:p>
                  <w:pPr>
                    <w:bidi w:val="0"/>
                    <w:jc w:val="center"/>
                    <w:rPr>
                      <w:rFonts w:hint="default"/>
                      <w:color w:val="auto"/>
                      <w:lang w:val="en-US" w:eastAsia="zh-CN"/>
                    </w:rPr>
                  </w:pPr>
                  <w:r>
                    <w:rPr>
                      <w:rFonts w:hint="default"/>
                      <w:color w:val="auto"/>
                      <w:lang w:val="en-US" w:eastAsia="zh-CN"/>
                    </w:rPr>
                    <w:t>强化工业企业无组织排放管控。开展钢铁、建材、有色、铸造等重点行业及燃煤锅炉无组织排放排查，建立管理台账，对物料（含废渣）运输、装卸、储存、转移和工艺过程等无组织排放实施深度治理，2020年底前，全州基本完成。</w:t>
                  </w:r>
                </w:p>
              </w:tc>
              <w:tc>
                <w:tcPr>
                  <w:tcW w:w="1612" w:type="dxa"/>
                  <w:vAlign w:val="center"/>
                </w:tcPr>
                <w:p>
                  <w:pPr>
                    <w:bidi w:val="0"/>
                    <w:jc w:val="center"/>
                    <w:rPr>
                      <w:rFonts w:hint="default"/>
                      <w:color w:val="auto"/>
                      <w:lang w:val="en-US" w:eastAsia="zh-CN"/>
                    </w:rPr>
                  </w:pPr>
                  <w:r>
                    <w:rPr>
                      <w:rFonts w:hint="eastAsia"/>
                      <w:color w:val="auto"/>
                      <w:lang w:val="en-US" w:eastAsia="zh-CN"/>
                    </w:rPr>
                    <w:t>项目不涉及上述行业</w:t>
                  </w:r>
                </w:p>
              </w:tc>
              <w:tc>
                <w:tcPr>
                  <w:tcW w:w="713" w:type="dxa"/>
                  <w:vAlign w:val="center"/>
                </w:tcPr>
                <w:p>
                  <w:pPr>
                    <w:bidi w:val="0"/>
                    <w:jc w:val="cente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2" w:type="dxa"/>
                  <w:vMerge w:val="continue"/>
                  <w:vAlign w:val="center"/>
                </w:tcPr>
                <w:p>
                  <w:pPr>
                    <w:bidi w:val="0"/>
                    <w:jc w:val="center"/>
                    <w:rPr>
                      <w:rFonts w:hint="default"/>
                      <w:color w:val="auto"/>
                      <w:lang w:val="en-US" w:eastAsia="zh-CN"/>
                    </w:rPr>
                  </w:pPr>
                </w:p>
              </w:tc>
              <w:tc>
                <w:tcPr>
                  <w:tcW w:w="636" w:type="dxa"/>
                  <w:vMerge w:val="continue"/>
                  <w:vAlign w:val="center"/>
                </w:tcPr>
                <w:p>
                  <w:pPr>
                    <w:bidi w:val="0"/>
                    <w:jc w:val="center"/>
                    <w:rPr>
                      <w:rFonts w:hint="default"/>
                      <w:color w:val="auto"/>
                      <w:lang w:val="en-US" w:eastAsia="zh-CN"/>
                    </w:rPr>
                  </w:pPr>
                </w:p>
              </w:tc>
              <w:tc>
                <w:tcPr>
                  <w:tcW w:w="3225" w:type="dxa"/>
                  <w:vAlign w:val="center"/>
                </w:tcPr>
                <w:p>
                  <w:pPr>
                    <w:bidi w:val="0"/>
                    <w:jc w:val="center"/>
                    <w:rPr>
                      <w:rFonts w:hint="default"/>
                      <w:color w:val="auto"/>
                      <w:lang w:val="en-US" w:eastAsia="zh-CN"/>
                    </w:rPr>
                  </w:pPr>
                  <w:r>
                    <w:rPr>
                      <w:rFonts w:hint="default"/>
                      <w:color w:val="auto"/>
                      <w:lang w:val="en-US" w:eastAsia="zh-CN"/>
                    </w:rPr>
                    <w:t>推动工业园区循环改造、规范发展和提质增效。大力推进企业清洁生产，进行集中治理，限期进行达标改造，减少工业集聚区污染。有条件的采取集中供热和集中喷涂，并配备高效治理设施，替代单独供热和独立喷涂工艺。</w:t>
                  </w:r>
                </w:p>
              </w:tc>
              <w:tc>
                <w:tcPr>
                  <w:tcW w:w="1612" w:type="dxa"/>
                  <w:vAlign w:val="center"/>
                </w:tcPr>
                <w:p>
                  <w:pPr>
                    <w:bidi w:val="0"/>
                    <w:jc w:val="center"/>
                    <w:rPr>
                      <w:rFonts w:hint="default"/>
                      <w:color w:val="auto"/>
                      <w:lang w:val="en-US" w:eastAsia="zh-CN"/>
                    </w:rPr>
                  </w:pPr>
                  <w:r>
                    <w:rPr>
                      <w:rFonts w:hint="eastAsia"/>
                      <w:color w:val="auto"/>
                      <w:lang w:val="en-US" w:eastAsia="zh-CN"/>
                    </w:rPr>
                    <w:t>项目所在地不属于集中供热区，项目采用生物质锅炉，产生的废气配备水膜除尘设施进行处理。燃烧废气经水膜除尘设施处理后，污染物能达标排放。</w:t>
                  </w:r>
                </w:p>
              </w:tc>
              <w:tc>
                <w:tcPr>
                  <w:tcW w:w="713" w:type="dxa"/>
                  <w:vAlign w:val="center"/>
                </w:tcPr>
                <w:p>
                  <w:pPr>
                    <w:bidi w:val="0"/>
                    <w:jc w:val="center"/>
                    <w:rPr>
                      <w:rFonts w:hint="default"/>
                      <w:color w:val="auto"/>
                      <w:lang w:val="en-US" w:eastAsia="zh-CN"/>
                    </w:rPr>
                  </w:pPr>
                  <w:r>
                    <w:rPr>
                      <w:rFonts w:hint="eastAsia"/>
                      <w:color w:val="auto"/>
                      <w:lang w:val="en-US" w:eastAsia="zh-CN"/>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综上，项目的建设符合《大理州打赢蓝天保卫战三年行动实施方案》（大政发[2018]57号）的相关要求。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10、与《“十四五”噪声污染防治行动计划》的符合性分析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表1-11  项目与《“十四五”噪声污染防治行动计划》的符合性</w:t>
            </w:r>
          </w:p>
          <w:tbl>
            <w:tblPr>
              <w:tblStyle w:val="7"/>
              <w:tblW w:w="6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535"/>
              <w:gridCol w:w="258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序号</w:t>
                  </w:r>
                </w:p>
              </w:tc>
              <w:tc>
                <w:tcPr>
                  <w:tcW w:w="2535" w:type="dxa"/>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相关内容</w:t>
                  </w:r>
                </w:p>
              </w:tc>
              <w:tc>
                <w:tcPr>
                  <w:tcW w:w="2580" w:type="dxa"/>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本项目情况</w:t>
                  </w:r>
                </w:p>
              </w:tc>
              <w:tc>
                <w:tcPr>
                  <w:tcW w:w="960" w:type="dxa"/>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1</w:t>
                  </w:r>
                </w:p>
              </w:tc>
              <w:tc>
                <w:tcPr>
                  <w:tcW w:w="2535"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严格落实噪声污染防治要求。制定修改相关规划、建设对环境有影响的项目时，应依法开展环评，对可能产生噪声与振动的影响进行分析、预测和评估，积极采取噪声污染防治对策措施。建设项目的噪声污染防治设施应当与主体工程同时设计、同时施工、同时投产使用。督促建设单位依法开展竣工环境保护验收，加大事中事后监管力度，确保各项措施落地见效。</w:t>
                  </w:r>
                </w:p>
              </w:tc>
              <w:tc>
                <w:tcPr>
                  <w:tcW w:w="2580"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项目运营期噪声主要为设备噪声。运营期设备运行噪声通过构筑物隔声，加强管理，选用低噪声设备、设备加装减震垫等措施后，对周围环境影响较小。建设单位已按要求正在进行环境影响报告的编制，根据环评预测结果，运营期厂界噪声可满足《工业企业厂界环境噪声排放标准》（GB12348-2008）2类标准限值要求。项目运营期将实行“三同时”制度，采取有效的噪声防治措施减小对周围环境的影响。项目建成投运前将依法进行验收工作，验收通过方可投入生产。</w:t>
                  </w:r>
                </w:p>
              </w:tc>
              <w:tc>
                <w:tcPr>
                  <w:tcW w:w="960"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2</w:t>
                  </w:r>
                </w:p>
              </w:tc>
              <w:tc>
                <w:tcPr>
                  <w:tcW w:w="2535"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树立工业噪声污染治理标杆。排放噪声的工业企业应切实采取减振降噪措施，加强厂区内固定设备、运输工具、货物装卸等噪声源管理，同时避免突发噪声扰民。鼓励企业采用先进治理技术，打造行业噪声污染治理示范典型。中央企业要主动承担社会责任，切实发挥模范带头和引领示范作用，创建一批行业标杆。</w:t>
                  </w:r>
                </w:p>
              </w:tc>
              <w:tc>
                <w:tcPr>
                  <w:tcW w:w="2580"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项目采取有效减振降噪措施，运营期通过采取构筑物隔声，加强管理，选用低噪声设备、设备加装减震垫；项目运输车辆尽量选取避开沿途有敏感点的线路等措施后运营期噪声对环境影响可接受。</w:t>
                  </w:r>
                </w:p>
              </w:tc>
              <w:tc>
                <w:tcPr>
                  <w:tcW w:w="960"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3</w:t>
                  </w:r>
                </w:p>
              </w:tc>
              <w:tc>
                <w:tcPr>
                  <w:tcW w:w="2535"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推进工业噪声实施排污许可和重点排污单位管理。发布工业噪声排污许可证申请与核发技术规范，依法核发排污许可证或进行排污登记，并加强监管；实行排污许可管理的单位依证排污，按照规定开展自行监测并向社会公开。依据《环境监管重点单位名录管理办法》推进设区的市级以上生态环境主管部门编制本行政区域噪声重点排污单位名录，并按要求发布和更新；噪声重点排污单位应依法开展噪声自动监测，并及时与生态环境主管部门的监控设备联网。</w:t>
                  </w:r>
                </w:p>
              </w:tc>
              <w:tc>
                <w:tcPr>
                  <w:tcW w:w="2580"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项目噪声实施排污许可管理，项目建成投运前依法进行排污许可申报工作，并严格按照排污许可自行监测要求进行自行监测，并向社会公开。</w:t>
                  </w:r>
                </w:p>
              </w:tc>
              <w:tc>
                <w:tcPr>
                  <w:tcW w:w="960"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4</w:t>
                  </w:r>
                </w:p>
              </w:tc>
              <w:tc>
                <w:tcPr>
                  <w:tcW w:w="2535"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推广低噪声施工设备。制定房屋建筑和市政基础设施工程禁止和限制使用技术目录，限制或禁用易产生噪声污染的落后施工工艺和设备。</w:t>
                  </w:r>
                </w:p>
              </w:tc>
              <w:tc>
                <w:tcPr>
                  <w:tcW w:w="2580"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项目施工期选用低噪声设备。</w:t>
                  </w:r>
                </w:p>
              </w:tc>
              <w:tc>
                <w:tcPr>
                  <w:tcW w:w="960"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5</w:t>
                  </w:r>
                </w:p>
              </w:tc>
              <w:tc>
                <w:tcPr>
                  <w:tcW w:w="2535" w:type="dxa"/>
                  <w:vAlign w:val="center"/>
                </w:tcPr>
                <w:p>
                  <w:pPr>
                    <w:bidi w:val="0"/>
                    <w:jc w:val="center"/>
                    <w:rPr>
                      <w:rFonts w:hint="eastAsia"/>
                      <w:color w:val="auto"/>
                      <w:vertAlign w:val="baseline"/>
                      <w:lang w:val="en-US" w:eastAsia="zh-CN"/>
                    </w:rPr>
                  </w:pPr>
                  <w:r>
                    <w:rPr>
                      <w:rFonts w:hint="eastAsia"/>
                      <w:color w:val="auto"/>
                      <w:vertAlign w:val="baseline"/>
                      <w:lang w:val="en-US" w:eastAsia="zh-CN"/>
                    </w:rPr>
                    <w:t>加严噪声敏感建筑物集中区域施工要求。噪声敏感建筑物集中区域的施工场地应优先使用低噪声施工工艺和设备，采取减振降噪措施，加强进出场地运输车辆管理；建设单位应根据国家规定设置噪声自动监测系统，与监督管理部门联网。推动地方完善噪声敏感建筑物集中区域夜间施工证明的申报、审核、时限以及施工管理等要求，严格规范夜间施工证明发放。夜间施工单位应依法进行公示公告。</w:t>
                  </w:r>
                </w:p>
              </w:tc>
              <w:tc>
                <w:tcPr>
                  <w:tcW w:w="2580" w:type="dxa"/>
                  <w:vAlign w:val="center"/>
                </w:tcPr>
                <w:p>
                  <w:pPr>
                    <w:bidi w:val="0"/>
                    <w:jc w:val="center"/>
                    <w:rPr>
                      <w:rFonts w:hint="eastAsia"/>
                      <w:color w:val="auto"/>
                      <w:vertAlign w:val="baseline"/>
                      <w:lang w:val="en-US" w:eastAsia="zh-CN"/>
                    </w:rPr>
                  </w:pPr>
                  <w:r>
                    <w:rPr>
                      <w:rFonts w:hint="eastAsia"/>
                      <w:color w:val="auto"/>
                      <w:vertAlign w:val="baseline"/>
                      <w:lang w:val="en-US" w:eastAsia="zh-CN"/>
                    </w:rPr>
                    <w:t>合理安排施工进度，选用低噪声设备，合理布置施工场地；施工期运输车辆做到合理调度，匀速慢行；不在午间、夜间施工。对施工噪声进行控制。项目施工对周围声环境影响较小。</w:t>
                  </w:r>
                </w:p>
              </w:tc>
              <w:tc>
                <w:tcPr>
                  <w:tcW w:w="960" w:type="dxa"/>
                  <w:vAlign w:val="center"/>
                </w:tcPr>
                <w:p>
                  <w:pPr>
                    <w:bidi w:val="0"/>
                    <w:jc w:val="center"/>
                    <w:rPr>
                      <w:rFonts w:hint="eastAsia"/>
                      <w:color w:val="auto"/>
                      <w:vertAlign w:val="baseline"/>
                      <w:lang w:val="en-US" w:eastAsia="zh-CN"/>
                    </w:rPr>
                  </w:pPr>
                  <w:r>
                    <w:rPr>
                      <w:rFonts w:hint="eastAsia"/>
                      <w:color w:val="auto"/>
                      <w:vertAlign w:val="baseline"/>
                      <w:lang w:val="en-US" w:eastAsia="zh-CN"/>
                    </w:rPr>
                    <w:t>符合</w:t>
                  </w:r>
                </w:p>
              </w:tc>
            </w:tr>
          </w:tbl>
          <w:p>
            <w:pPr>
              <w:bidi w:val="0"/>
              <w:rPr>
                <w:rFonts w:hint="default"/>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、项目与《云南省大理白族自治州洱海保护管理条例》相符性分析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第六条 洱海保护管理范围是以洱海水体为主的整个洱海流域，包括大理市所辖的满江、下关、太和、大理、银桥、湾桥、喜洲、上关、双廊、挖色、海东、凤仪12个镇（街道办事处）和洱源县所辖的邓川、右所、牛街、三营、茈碧湖、凤仪6个乡（镇）约2565平方公里的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洱海最高运行水位以内的区域为洱海湖区。洱海湖区界线水平向外延伸15米以内的区域为洱海湖滨带。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洱海保护管理应当划定湖滨生态红线、湖泊生态黄线和生态保护核心区、生态保护缓冲区与绿色发展区：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态保护核心区为洱海湖区以及海西、海北片区洱海最高运行水位水平向外延伸100米以内的区域；海东片区洱海最高运行水位水平向外延伸30米以内的区域，但延伸至环海东路及其以外的，以环海东路临湖一侧路缘线为界；海南片区洱海最高运行水位水平向外延伸15米以内的区域，但延伸至城市道路及其以外的，以城市道路临湖一侧路缘线为界。生态保护核心区边界线为洱海湖滨生态红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态保护缓冲区为生态保护核心区以外，海西片区南起阳南溪沿大理至丽江二级公路，北至罗时江临湖一侧路缘线以内的区域；海北片区西起罗时江沿大理至丽江二级公路和老环海路，东至马厂村老环海路与环海东路交接处临湖一侧路缘线以内的区域；海东片区北起马厂村老环海路与环海东路交接处，沿环海东路南至环海东路与机场路交接处沿地表向外延伸100米以内的区域；海南片区东起环海东路与机场路交接处，西至阳南溪沿地表向外延伸100米以内的区域，但涉及城市规划区的按照城市规划区规划控制；洱海主要入湖河道以及堤岸内侧水平向外延伸30米，洱海流域其他湖（库）水域及其最高运行水位水平向外延伸50米以内的区域。生态保护缓冲区边界线为洱海湖泊生态黄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（三）绿色发展区为生态保护核心区、生态保护缓冲区以外的洱海流域。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本项目位于洱源县牛街乡太平村，位于绿色发展区。</w:t>
            </w:r>
          </w:p>
          <w:p>
            <w:pPr>
              <w:numPr>
                <w:ilvl w:val="0"/>
                <w:numId w:val="0"/>
              </w:numPr>
              <w:bidi w:val="0"/>
              <w:jc w:val="center"/>
              <w:rPr>
                <w:rFonts w:hint="default"/>
                <w:b/>
                <w:bCs/>
                <w:color w:val="auto"/>
                <w:sz w:val="18"/>
                <w:szCs w:val="18"/>
                <w:lang w:val="en-US" w:eastAsia="zh-CN"/>
              </w:rPr>
            </w:pPr>
            <w:r>
              <w:rPr>
                <w:rFonts w:hint="default"/>
                <w:b/>
                <w:bCs/>
                <w:color w:val="auto"/>
                <w:sz w:val="18"/>
                <w:szCs w:val="18"/>
                <w:lang w:val="en-US" w:eastAsia="zh-CN"/>
              </w:rPr>
              <w:t>表</w:t>
            </w:r>
            <w:r>
              <w:rPr>
                <w:rFonts w:hint="eastAsia"/>
                <w:b/>
                <w:bCs/>
                <w:color w:val="auto"/>
                <w:sz w:val="18"/>
                <w:szCs w:val="18"/>
                <w:lang w:val="en-US" w:eastAsia="zh-CN"/>
              </w:rPr>
              <w:t>1</w:t>
            </w:r>
            <w:r>
              <w:rPr>
                <w:rFonts w:hint="default"/>
                <w:b/>
                <w:bCs/>
                <w:color w:val="auto"/>
                <w:sz w:val="18"/>
                <w:szCs w:val="18"/>
                <w:lang w:val="en-US" w:eastAsia="zh-CN"/>
              </w:rPr>
              <w:t>-</w:t>
            </w:r>
            <w:r>
              <w:rPr>
                <w:rFonts w:hint="eastAsia"/>
                <w:b/>
                <w:bCs/>
                <w:color w:val="auto"/>
                <w:sz w:val="18"/>
                <w:szCs w:val="18"/>
                <w:lang w:val="en-US" w:eastAsia="zh-CN"/>
              </w:rPr>
              <w:t>12</w:t>
            </w:r>
            <w:r>
              <w:rPr>
                <w:rFonts w:hint="default"/>
                <w:b/>
                <w:bCs/>
                <w:color w:val="auto"/>
                <w:sz w:val="18"/>
                <w:szCs w:val="18"/>
                <w:lang w:val="en-US" w:eastAsia="zh-CN"/>
              </w:rPr>
              <w:t xml:space="preserve"> 与《云南省大理白族自治州洱海管理条例》</w:t>
            </w:r>
            <w:r>
              <w:rPr>
                <w:rFonts w:hint="eastAsia"/>
                <w:b/>
                <w:bCs/>
                <w:color w:val="auto"/>
                <w:sz w:val="18"/>
                <w:szCs w:val="18"/>
                <w:lang w:val="en-US" w:eastAsia="zh-CN"/>
              </w:rPr>
              <w:t>绿色发展区保护管理</w:t>
            </w:r>
            <w:r>
              <w:rPr>
                <w:rFonts w:hint="default"/>
                <w:b/>
                <w:bCs/>
                <w:color w:val="auto"/>
                <w:sz w:val="18"/>
                <w:szCs w:val="18"/>
                <w:lang w:val="en-US" w:eastAsia="zh-CN"/>
              </w:rPr>
              <w:t>对比分析</w:t>
            </w:r>
          </w:p>
          <w:tbl>
            <w:tblPr>
              <w:tblStyle w:val="6"/>
              <w:tblW w:w="6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511"/>
              <w:gridCol w:w="2594"/>
              <w:gridCol w:w="2471"/>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310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《条例》的有关规定</w:t>
                  </w:r>
                </w:p>
              </w:tc>
              <w:tc>
                <w:tcPr>
                  <w:tcW w:w="247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项目情况</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310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绿色发展区加强山、水、林、田、湖、草、沙一体化保护和系统治理，加大城镇、村庄规划建设管控力度，优化布局文化旅游、生态产业、发展绿色经济。</w:t>
                  </w:r>
                </w:p>
                <w:p>
                  <w:pPr>
                    <w:bidi w:val="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绿色发展区严格管控建设用地规模，推动土地集约高效利用。严禁审批高污染、高耗水、高耗能项目。</w:t>
                  </w:r>
                </w:p>
              </w:tc>
              <w:tc>
                <w:tcPr>
                  <w:tcW w:w="247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本项目租用原红砖厂地块进行厂房建设、生产设备安装运营。本项目为酒店布草洗涤，不属于高污染、高耗水、高耗能项目</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310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绿色发展区内的建设项目应当符合洱海保护治理规划。发展改革、自然资源、生态环境、住房和城乡建设等行政主管部门在审批前须征求同级洱海保护管理机构以及有关部门的意见。</w:t>
                  </w:r>
                </w:p>
                <w:p>
                  <w:pPr>
                    <w:bidi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禁止削山造地等破坏景观、植被、地形地貌的建设活动。</w:t>
                  </w:r>
                </w:p>
              </w:tc>
              <w:tc>
                <w:tcPr>
                  <w:tcW w:w="247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本项目现进行环境影响评价，且本项目实施已取得洱源县洱海流域管理局洱海流域建设项目审查意见，同意项目建设</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本项目租用原红砖厂地块进行厂房建设、生产设备安装运营，不涉及削山，不会造成破坏景观、植被、地形地貌的建设活动</w:t>
                  </w:r>
                  <w:r>
                    <w:rPr>
                      <w:rFonts w:hint="default" w:ascii="Times New Roman" w:hAnsi="Times New Roman" w:eastAsia="宋体" w:cs="Times New Roman"/>
                      <w:color w:val="auto"/>
                      <w:sz w:val="21"/>
                      <w:szCs w:val="21"/>
                    </w:rPr>
                    <w:t>。</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3105" w:type="dxa"/>
                  <w:gridSpan w:val="2"/>
                  <w:tcBorders>
                    <w:top w:val="single" w:color="auto" w:sz="4" w:space="0"/>
                    <w:left w:val="single" w:color="auto" w:sz="4" w:space="0"/>
                    <w:bottom w:val="single" w:color="auto" w:sz="4" w:space="0"/>
                    <w:right w:val="single" w:color="auto" w:sz="4" w:space="0"/>
                  </w:tcBorders>
                  <w:noWrap w:val="0"/>
                  <w:vAlign w:val="center"/>
                </w:tcPr>
                <w:p>
                  <w:pPr>
                    <w:bidi w:val="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大理市、洱源县人民政府应当科学规划布局畜禽、水产养殖场、养殖小区、采取措施，防治养殖污染。</w:t>
                  </w:r>
                </w:p>
              </w:tc>
              <w:tc>
                <w:tcPr>
                  <w:tcW w:w="247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项目不属于畜禽养殖项目</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511" w:type="dxa"/>
                  <w:vMerge w:val="restart"/>
                  <w:tcBorders>
                    <w:top w:val="single" w:color="auto" w:sz="4" w:space="0"/>
                    <w:left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绿色发展区内禁止下列行为</w:t>
                  </w:r>
                </w:p>
                <w:p>
                  <w:pPr>
                    <w:bidi w:val="0"/>
                    <w:spacing w:line="240" w:lineRule="auto"/>
                    <w:jc w:val="center"/>
                    <w:rPr>
                      <w:rFonts w:hint="default" w:ascii="Times New Roman" w:hAnsi="Times New Roman" w:eastAsia="宋体" w:cs="Times New Roman"/>
                      <w:color w:val="auto"/>
                      <w:sz w:val="21"/>
                      <w:szCs w:val="21"/>
                      <w:lang w:eastAsia="zh-CN"/>
                    </w:rPr>
                  </w:pPr>
                </w:p>
              </w:tc>
              <w:tc>
                <w:tcPr>
                  <w:tcW w:w="259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侵占湿地、水库、河道；</w:t>
                  </w:r>
                </w:p>
              </w:tc>
              <w:tc>
                <w:tcPr>
                  <w:tcW w:w="247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项目不涉及。</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rPr>
                  </w:pPr>
                </w:p>
              </w:tc>
              <w:tc>
                <w:tcPr>
                  <w:tcW w:w="511" w:type="dxa"/>
                  <w:vMerge w:val="continue"/>
                  <w:tcBorders>
                    <w:left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auto"/>
                      <w:sz w:val="21"/>
                      <w:szCs w:val="21"/>
                      <w:lang w:eastAsia="zh-CN"/>
                    </w:rPr>
                  </w:pPr>
                </w:p>
              </w:tc>
              <w:tc>
                <w:tcPr>
                  <w:tcW w:w="259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使用炸鱼、毒鱼、电鱼等破坏渔业资源方法或者禁用的渔具、捕捞方法和网具进行捕捞；</w:t>
                  </w:r>
                </w:p>
              </w:tc>
              <w:tc>
                <w:tcPr>
                  <w:tcW w:w="247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项目不涉及</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rPr>
                  </w:pPr>
                </w:p>
              </w:tc>
              <w:tc>
                <w:tcPr>
                  <w:tcW w:w="511" w:type="dxa"/>
                  <w:vMerge w:val="continue"/>
                  <w:tcBorders>
                    <w:left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auto"/>
                      <w:sz w:val="21"/>
                      <w:szCs w:val="21"/>
                      <w:lang w:eastAsia="zh-CN"/>
                    </w:rPr>
                  </w:pPr>
                </w:p>
              </w:tc>
              <w:tc>
                <w:tcPr>
                  <w:tcW w:w="259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擅自砍伐林木；</w:t>
                  </w:r>
                </w:p>
              </w:tc>
              <w:tc>
                <w:tcPr>
                  <w:tcW w:w="247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项目不涉及</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rPr>
                  </w:pPr>
                </w:p>
              </w:tc>
              <w:tc>
                <w:tcPr>
                  <w:tcW w:w="511" w:type="dxa"/>
                  <w:vMerge w:val="continue"/>
                  <w:tcBorders>
                    <w:left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auto"/>
                      <w:sz w:val="21"/>
                      <w:szCs w:val="21"/>
                      <w:lang w:eastAsia="zh-CN"/>
                    </w:rPr>
                  </w:pPr>
                </w:p>
              </w:tc>
              <w:tc>
                <w:tcPr>
                  <w:tcW w:w="259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擅自取水或者违反取水许可规定取水；</w:t>
                  </w:r>
                </w:p>
              </w:tc>
              <w:tc>
                <w:tcPr>
                  <w:tcW w:w="247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项目取水来自市政自来水</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rPr>
                  </w:pPr>
                </w:p>
              </w:tc>
              <w:tc>
                <w:tcPr>
                  <w:tcW w:w="511" w:type="dxa"/>
                  <w:vMerge w:val="continue"/>
                  <w:tcBorders>
                    <w:left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auto"/>
                      <w:sz w:val="21"/>
                      <w:szCs w:val="21"/>
                      <w:lang w:eastAsia="zh-CN"/>
                    </w:rPr>
                  </w:pPr>
                </w:p>
              </w:tc>
              <w:tc>
                <w:tcPr>
                  <w:tcW w:w="259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选矿、采矿；</w:t>
                  </w:r>
                </w:p>
              </w:tc>
              <w:tc>
                <w:tcPr>
                  <w:tcW w:w="247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项目不涉及</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rPr>
                  </w:pPr>
                </w:p>
              </w:tc>
              <w:tc>
                <w:tcPr>
                  <w:tcW w:w="511" w:type="dxa"/>
                  <w:vMerge w:val="continue"/>
                  <w:tcBorders>
                    <w:left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auto"/>
                      <w:sz w:val="21"/>
                      <w:szCs w:val="21"/>
                      <w:lang w:eastAsia="zh-CN"/>
                    </w:rPr>
                  </w:pPr>
                </w:p>
              </w:tc>
              <w:tc>
                <w:tcPr>
                  <w:tcW w:w="259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向水体排放油类、酸液、碱液、排放、倾倒工业废渣、城镇垃圾或者其他废弃物</w:t>
                  </w:r>
                </w:p>
              </w:tc>
              <w:tc>
                <w:tcPr>
                  <w:tcW w:w="247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项目产生的生活污水</w:t>
                  </w:r>
                  <w:r>
                    <w:rPr>
                      <w:rFonts w:hint="eastAsia" w:ascii="Times New Roman" w:hAnsi="Times New Roman" w:eastAsia="宋体" w:cs="Times New Roman"/>
                      <w:color w:val="auto"/>
                      <w:sz w:val="21"/>
                      <w:szCs w:val="21"/>
                      <w:lang w:val="en-US" w:eastAsia="zh-CN"/>
                    </w:rPr>
                    <w:t>、生产废水</w:t>
                  </w:r>
                  <w:r>
                    <w:rPr>
                      <w:rFonts w:hint="default" w:ascii="Times New Roman" w:hAnsi="Times New Roman" w:eastAsia="宋体" w:cs="Times New Roman"/>
                      <w:color w:val="auto"/>
                      <w:sz w:val="21"/>
                      <w:szCs w:val="21"/>
                      <w:lang w:val="en-US" w:eastAsia="zh-CN"/>
                    </w:rPr>
                    <w:t>经化粪池处理</w:t>
                  </w:r>
                  <w:r>
                    <w:rPr>
                      <w:rFonts w:hint="eastAsia" w:ascii="Times New Roman" w:hAnsi="Times New Roman" w:eastAsia="宋体" w:cs="Times New Roman"/>
                      <w:color w:val="auto"/>
                      <w:sz w:val="21"/>
                      <w:szCs w:val="21"/>
                      <w:lang w:val="en-US" w:eastAsia="zh-CN"/>
                    </w:rPr>
                    <w:t>达标</w:t>
                  </w:r>
                  <w:r>
                    <w:rPr>
                      <w:rFonts w:hint="default" w:ascii="Times New Roman" w:hAnsi="Times New Roman" w:eastAsia="宋体" w:cs="Times New Roman"/>
                      <w:color w:val="auto"/>
                      <w:sz w:val="21"/>
                      <w:szCs w:val="21"/>
                      <w:lang w:val="en-US" w:eastAsia="zh-CN"/>
                    </w:rPr>
                    <w:t>后，排入市政污水管网</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生活垃圾经垃圾桶收集后，交由当地环卫部门清运处理，洗涤剂包装料经统一收集后，外售。</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rPr>
                  </w:pPr>
                </w:p>
              </w:tc>
              <w:tc>
                <w:tcPr>
                  <w:tcW w:w="511" w:type="dxa"/>
                  <w:vMerge w:val="continue"/>
                  <w:tcBorders>
                    <w:left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auto"/>
                      <w:sz w:val="21"/>
                      <w:szCs w:val="21"/>
                      <w:lang w:eastAsia="zh-CN"/>
                    </w:rPr>
                  </w:pPr>
                </w:p>
              </w:tc>
              <w:tc>
                <w:tcPr>
                  <w:tcW w:w="259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弃置、掩埋有毒物质；</w:t>
                  </w:r>
                </w:p>
              </w:tc>
              <w:tc>
                <w:tcPr>
                  <w:tcW w:w="247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项目不产生危险废物</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rPr>
                  </w:pPr>
                </w:p>
              </w:tc>
              <w:tc>
                <w:tcPr>
                  <w:tcW w:w="511" w:type="dxa"/>
                  <w:vMerge w:val="continue"/>
                  <w:tcBorders>
                    <w:left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auto"/>
                      <w:sz w:val="21"/>
                      <w:szCs w:val="21"/>
                      <w:lang w:eastAsia="zh-CN"/>
                    </w:rPr>
                  </w:pPr>
                </w:p>
              </w:tc>
              <w:tc>
                <w:tcPr>
                  <w:tcW w:w="259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生产、销售和使用国家禁止和限制使用的农药；</w:t>
                  </w:r>
                </w:p>
              </w:tc>
              <w:tc>
                <w:tcPr>
                  <w:tcW w:w="247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不涉及</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rPr>
                  </w:pPr>
                </w:p>
              </w:tc>
              <w:tc>
                <w:tcPr>
                  <w:tcW w:w="511" w:type="dxa"/>
                  <w:vMerge w:val="continue"/>
                  <w:tcBorders>
                    <w:left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auto"/>
                      <w:sz w:val="21"/>
                      <w:szCs w:val="21"/>
                      <w:lang w:eastAsia="zh-CN"/>
                    </w:rPr>
                  </w:pPr>
                </w:p>
              </w:tc>
              <w:tc>
                <w:tcPr>
                  <w:tcW w:w="259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生产、销售和使用含磷洗涤用品或者不可讲解的泡沫塑料餐饮具、塑料袋；</w:t>
                  </w:r>
                </w:p>
              </w:tc>
              <w:tc>
                <w:tcPr>
                  <w:tcW w:w="247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不涉及</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rPr>
                  </w:pPr>
                </w:p>
              </w:tc>
              <w:tc>
                <w:tcPr>
                  <w:tcW w:w="511" w:type="dxa"/>
                  <w:vMerge w:val="continue"/>
                  <w:tcBorders>
                    <w:left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auto"/>
                      <w:sz w:val="21"/>
                      <w:szCs w:val="21"/>
                      <w:lang w:eastAsia="zh-CN"/>
                    </w:rPr>
                  </w:pPr>
                </w:p>
              </w:tc>
              <w:tc>
                <w:tcPr>
                  <w:tcW w:w="259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建设化工、冶金、制浆、制革、电镀、电解、水泥以及其他严重污染水环境的工业项目；</w:t>
                  </w:r>
                </w:p>
              </w:tc>
              <w:tc>
                <w:tcPr>
                  <w:tcW w:w="247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不涉及</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tcBorders>
                    <w:left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rPr>
                  </w:pPr>
                </w:p>
              </w:tc>
              <w:tc>
                <w:tcPr>
                  <w:tcW w:w="511" w:type="dxa"/>
                  <w:vMerge w:val="continue"/>
                  <w:tcBorders>
                    <w:left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auto"/>
                      <w:sz w:val="21"/>
                      <w:szCs w:val="21"/>
                      <w:lang w:eastAsia="zh-CN"/>
                    </w:rPr>
                  </w:pPr>
                </w:p>
              </w:tc>
              <w:tc>
                <w:tcPr>
                  <w:tcW w:w="259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盗窃、损毁界桩、标识标牌、堤坝、沟渠、桥闸、水文、气象、测量、码头、航标、环境监测、科研、排水、排污、截污、治污等设施；</w:t>
                  </w:r>
                </w:p>
              </w:tc>
              <w:tc>
                <w:tcPr>
                  <w:tcW w:w="247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不涉及</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1"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rPr>
                  </w:pPr>
                </w:p>
              </w:tc>
              <w:tc>
                <w:tcPr>
                  <w:tcW w:w="511" w:type="dxa"/>
                  <w:vMerge w:val="continue"/>
                  <w:tcBorders>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auto"/>
                      <w:sz w:val="21"/>
                      <w:szCs w:val="21"/>
                      <w:lang w:eastAsia="zh-CN"/>
                    </w:rPr>
                  </w:pPr>
                </w:p>
              </w:tc>
              <w:tc>
                <w:tcPr>
                  <w:tcW w:w="2594" w:type="dxa"/>
                  <w:tcBorders>
                    <w:top w:val="single" w:color="auto" w:sz="4" w:space="0"/>
                    <w:left w:val="single" w:color="auto" w:sz="4" w:space="0"/>
                    <w:bottom w:val="single" w:color="auto" w:sz="4" w:space="0"/>
                    <w:right w:val="single" w:color="auto" w:sz="4" w:space="0"/>
                  </w:tcBorders>
                  <w:noWrap w:val="0"/>
                  <w:vAlign w:val="center"/>
                </w:tcPr>
                <w:p>
                  <w:pPr>
                    <w:bidi w:val="0"/>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其他破坏生态和污染环境的行为。</w:t>
                  </w:r>
                </w:p>
              </w:tc>
              <w:tc>
                <w:tcPr>
                  <w:tcW w:w="247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项目在原有厂址内进行改建，不涉及周边环境，且在后期进行绿化恢复措施</w:t>
                  </w:r>
                </w:p>
              </w:tc>
              <w:tc>
                <w:tcPr>
                  <w:tcW w:w="67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符合</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综上所述，项目建设与《云南省大理白族自治州洱海保护管理条例》</w:t>
            </w:r>
            <w:r>
              <w:rPr>
                <w:rFonts w:hint="eastAsia" w:ascii="Times New Roman" w:hAnsi="Times New Roman" w:eastAsia="宋体" w:cs="Times New Roman"/>
                <w:color w:val="auto"/>
                <w:sz w:val="24"/>
                <w:szCs w:val="24"/>
                <w:lang w:val="en-US" w:eastAsia="zh-CN"/>
              </w:rPr>
              <w:t>绿色发展区相关规定</w:t>
            </w:r>
            <w:r>
              <w:rPr>
                <w:rFonts w:hint="default" w:ascii="Times New Roman" w:hAnsi="Times New Roman" w:eastAsia="宋体" w:cs="Times New Roman"/>
                <w:color w:val="auto"/>
                <w:sz w:val="24"/>
                <w:szCs w:val="24"/>
                <w:lang w:val="en-US" w:eastAsia="zh-CN"/>
              </w:rPr>
              <w:t>相符。</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与《云南省市场监督管理局关于落实市场监管总局锅炉绿色低碳高质量发展行动实施意见的通知》符合性</w:t>
            </w:r>
          </w:p>
          <w:p>
            <w:pPr>
              <w:bidi w:val="0"/>
              <w:jc w:val="center"/>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表1-13  绿色低碳高质量发展行动实施意见的通知相符性</w:t>
            </w:r>
          </w:p>
          <w:tbl>
            <w:tblPr>
              <w:tblStyle w:val="7"/>
              <w:tblW w:w="6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947"/>
              <w:gridCol w:w="1546"/>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0" w:type="dxa"/>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序号</w:t>
                  </w:r>
                </w:p>
              </w:tc>
              <w:tc>
                <w:tcPr>
                  <w:tcW w:w="3947" w:type="dxa"/>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《通知》要求</w:t>
                  </w:r>
                </w:p>
              </w:tc>
              <w:tc>
                <w:tcPr>
                  <w:tcW w:w="1546" w:type="dxa"/>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项目情况</w:t>
                  </w:r>
                </w:p>
              </w:tc>
              <w:tc>
                <w:tcPr>
                  <w:tcW w:w="749" w:type="dxa"/>
                  <w:vAlign w:val="center"/>
                </w:tcPr>
                <w:p>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0"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3947"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宣传引导和督促锅炉生产、经营、使用单位落实主体责任。请各州、市局迅速将本通知及《实施意见》《目录》转发传达至辖区锅炉生产（含制造、安装、修理、改造）、经营、使用单位，督促企业对照《实施意见》《目录》开展自查，及时掌握锅炉生产使用的政策性规定，做好“限制类”“淘汰类”锅炉更新改造（变更）、淘汰（注销登记）、节能降碳、超低排放、定期能效测试、生产工艺改进等管理工作，进一步落实《锅炉节能环保技术规程》的要求，确保锅炉在安全、节能、环保状态下使用。</w:t>
                  </w:r>
                </w:p>
              </w:tc>
              <w:tc>
                <w:tcPr>
                  <w:tcW w:w="1546" w:type="dxa"/>
                  <w:vMerge w:val="restart"/>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项目2023年7月安装一台电锅炉，在试运营阶段电锅炉不能达到生产要求，9月进行变更，将电锅炉变更为1.5t/h锅炉，2024年4月7日云南省市场监督管理局下达《关于落实市场监管总局锅炉绿色低碳高质量发展行动实施意见的通知》，及对照《产业结构调整指导目录（2024年本）》，66、每小时2蒸吨及以下生物质锅炉为淘汰类，为此，建设单位于2024年5月对1.5t/h锅炉进行升级改造，改造成为一台2.5t/h锅</w:t>
                  </w:r>
                  <w:r>
                    <w:rPr>
                      <w:rFonts w:hint="eastAsia" w:ascii="Times New Roman" w:hAnsi="Times New Roman" w:eastAsia="宋体" w:cs="Times New Roman"/>
                      <w:color w:val="auto"/>
                      <w:sz w:val="21"/>
                      <w:szCs w:val="21"/>
                      <w:lang w:val="en-US" w:eastAsia="zh-CN"/>
                    </w:rPr>
                    <w:t>炉，新增1台2.5t/h锅炉（目前正在安装）项目两台生物质蒸汽发生器为一备一用。</w:t>
                  </w:r>
                </w:p>
              </w:tc>
              <w:tc>
                <w:tcPr>
                  <w:tcW w:w="749" w:type="dxa"/>
                  <w:vMerge w:val="restart"/>
                  <w:vAlign w:val="center"/>
                </w:tcPr>
                <w:p>
                  <w:pPr>
                    <w:bidi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0"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3947"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强化监管，严把新建锅炉准入关，各州、市局要结合地方政府的部署要求，组织指导各县（市、区）市场监管部门认真核查“云南省市场监督管理局特种设备综合管理系统”中在用、停用锅炉数据、对“限制类”“淘汰类”锅炉要逐台现场核实，纳入负面清单管理，严格落实《实施意见》《目录》相关规定，对淘汰锅炉及时注销使用登记；对列入限制类的锅炉不予办理新建安装告知、监督检查、使用登记；对未实施改造或改造达不到要求的限制类锅炉不再开展定期检验。要强化现场监督检查，防范国家明令淘汰、已经报废的锅炉重新使用。</w:t>
                  </w:r>
                </w:p>
              </w:tc>
              <w:tc>
                <w:tcPr>
                  <w:tcW w:w="1546" w:type="dxa"/>
                  <w:vMerge w:val="continue"/>
                  <w:vAlign w:val="center"/>
                </w:tcPr>
                <w:p>
                  <w:pPr>
                    <w:bidi w:val="0"/>
                    <w:jc w:val="center"/>
                    <w:rPr>
                      <w:rFonts w:hint="default" w:ascii="Times New Roman" w:hAnsi="Times New Roman" w:eastAsia="宋体" w:cs="Times New Roman"/>
                      <w:sz w:val="21"/>
                      <w:szCs w:val="21"/>
                      <w:lang w:val="en-US" w:eastAsia="zh-CN"/>
                    </w:rPr>
                  </w:pPr>
                </w:p>
              </w:tc>
              <w:tc>
                <w:tcPr>
                  <w:tcW w:w="749" w:type="dxa"/>
                  <w:vMerge w:val="continue"/>
                  <w:vAlign w:val="center"/>
                </w:tcPr>
                <w:p>
                  <w:pPr>
                    <w:bidi w:val="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0"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w:t>
                  </w:r>
                </w:p>
              </w:tc>
              <w:tc>
                <w:tcPr>
                  <w:tcW w:w="3947"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落实特种设备检验技术把关责任。各种特种设备检验机构要为锅炉“安全、节能、环保”三位一体监管提供技术支持，对锅炉设计文件鉴定设计热效率和大气污染物初始排放浓度信息不符合强制性指标的不予通过设计文件鉴定。锅炉制造、安装、修理、改造能效指标和主要大气污染物初始排放浓度测试结果部符合《锅炉节能环保技术规程》相关要求的，不予实施监督检验。</w:t>
                  </w:r>
                </w:p>
              </w:tc>
              <w:tc>
                <w:tcPr>
                  <w:tcW w:w="1546" w:type="dxa"/>
                  <w:vMerge w:val="continue"/>
                  <w:vAlign w:val="center"/>
                </w:tcPr>
                <w:p>
                  <w:pPr>
                    <w:bidi w:val="0"/>
                    <w:jc w:val="center"/>
                    <w:rPr>
                      <w:rFonts w:hint="default" w:ascii="Times New Roman" w:hAnsi="Times New Roman" w:eastAsia="宋体" w:cs="Times New Roman"/>
                      <w:sz w:val="21"/>
                      <w:szCs w:val="21"/>
                      <w:lang w:val="en-US" w:eastAsia="zh-CN"/>
                    </w:rPr>
                  </w:pPr>
                </w:p>
              </w:tc>
              <w:tc>
                <w:tcPr>
                  <w:tcW w:w="749" w:type="dxa"/>
                  <w:vMerge w:val="continue"/>
                  <w:vAlign w:val="center"/>
                </w:tcPr>
                <w:p>
                  <w:pPr>
                    <w:bidi w:val="0"/>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0"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p>
              </w:tc>
              <w:tc>
                <w:tcPr>
                  <w:tcW w:w="3947" w:type="dxa"/>
                  <w:vAlign w:val="center"/>
                </w:tcPr>
                <w:p>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加强协调沟通。各州、市局要主动衔接地方发改、工信、生态环境、能源等部门，加强沟通协作、数据共享、信息互通，及时通报、协调解决“限制类”“淘汰类”锅炉处置相关问题，共同推进小型电站锅炉和在役时间超过15年的老旧低效工业锅炉淘汰工作，助力锅炉绿色低碳发展。</w:t>
                  </w:r>
                </w:p>
              </w:tc>
              <w:tc>
                <w:tcPr>
                  <w:tcW w:w="1546" w:type="dxa"/>
                  <w:vMerge w:val="continue"/>
                  <w:vAlign w:val="center"/>
                </w:tcPr>
                <w:p>
                  <w:pPr>
                    <w:bidi w:val="0"/>
                    <w:jc w:val="center"/>
                    <w:rPr>
                      <w:rFonts w:hint="default" w:ascii="Times New Roman" w:hAnsi="Times New Roman" w:eastAsia="宋体" w:cs="Times New Roman"/>
                      <w:sz w:val="21"/>
                      <w:szCs w:val="21"/>
                      <w:lang w:val="en-US" w:eastAsia="zh-CN"/>
                    </w:rPr>
                  </w:pPr>
                </w:p>
              </w:tc>
              <w:tc>
                <w:tcPr>
                  <w:tcW w:w="749" w:type="dxa"/>
                  <w:vMerge w:val="continue"/>
                  <w:vAlign w:val="center"/>
                </w:tcPr>
                <w:p>
                  <w:pPr>
                    <w:bidi w:val="0"/>
                    <w:jc w:val="center"/>
                    <w:rPr>
                      <w:rFonts w:hint="default" w:ascii="Times New Roman" w:hAnsi="Times New Roman" w:eastAsia="宋体" w:cs="Times New Roman"/>
                      <w:sz w:val="21"/>
                      <w:szCs w:val="21"/>
                      <w:lang w:val="en-US" w:eastAsia="zh-CN"/>
                    </w:rPr>
                  </w:pPr>
                </w:p>
              </w:tc>
            </w:tr>
          </w:tbl>
          <w:p>
            <w:pPr>
              <w:bidi w:val="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13、</w:t>
            </w:r>
            <w:r>
              <w:rPr>
                <w:rFonts w:hint="default" w:ascii="Times New Roman" w:hAnsi="Times New Roman" w:eastAsia="宋体" w:cs="Times New Roman"/>
                <w:color w:val="auto"/>
                <w:sz w:val="24"/>
                <w:szCs w:val="24"/>
                <w:lang w:val="en-US" w:eastAsia="zh-CN"/>
              </w:rPr>
              <w:t>与《云南省主体功能区规划》的符合性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项目位于</w:t>
            </w:r>
            <w:r>
              <w:rPr>
                <w:rFonts w:hint="eastAsia" w:ascii="Times New Roman" w:hAnsi="Times New Roman" w:eastAsia="宋体" w:cs="Times New Roman"/>
                <w:color w:val="auto"/>
                <w:sz w:val="24"/>
                <w:szCs w:val="24"/>
                <w:lang w:val="en-US" w:eastAsia="zh-CN"/>
              </w:rPr>
              <w:t>洱源县牛街乡太平村</w:t>
            </w:r>
            <w:r>
              <w:rPr>
                <w:rFonts w:hint="default" w:ascii="Times New Roman" w:hAnsi="Times New Roman" w:eastAsia="宋体" w:cs="Times New Roman"/>
                <w:color w:val="auto"/>
                <w:sz w:val="24"/>
                <w:szCs w:val="24"/>
                <w:lang w:val="en-US" w:eastAsia="zh-CN"/>
              </w:rPr>
              <w:t>。根据《云南省主体功能区规划》，省级层面集中连片重点开发区域位于全省城市化战略格局的西部，是指以大理、隆阳、芒市、瑞丽为重点，以祥云、弥渡、腾冲等县城和猴桥、章凤、盈江等口岸为支撑的组团式条带状城镇密集区。功能定位：我国连接缅甸、南亚、印度洋的黄金通道，我国面向西南开放重要桥头堡的重要节点和窗口；云南省以优质粮、糖和香料为主的生物资源加工基地，重要的建材、矿冶、轻工生产和加工基地、商贸中心、文化产业发展中心和特色制造业中心，具有边疆民族特色的火山热海边界旅游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项目为酒店布草洗涤，</w:t>
            </w:r>
            <w:r>
              <w:rPr>
                <w:rFonts w:hint="eastAsia" w:ascii="Times New Roman" w:hAnsi="Times New Roman" w:eastAsia="宋体" w:cs="Times New Roman"/>
                <w:color w:val="auto"/>
                <w:sz w:val="24"/>
                <w:szCs w:val="24"/>
                <w:lang w:val="en-US" w:eastAsia="zh-CN"/>
              </w:rPr>
              <w:t>租用原有红砖厂地块进行厂房建设，生产设备安装即可投入运营</w:t>
            </w:r>
            <w:r>
              <w:rPr>
                <w:rFonts w:hint="default" w:ascii="Times New Roman" w:hAnsi="Times New Roman" w:eastAsia="宋体" w:cs="Times New Roman"/>
                <w:color w:val="auto"/>
                <w:sz w:val="24"/>
                <w:szCs w:val="24"/>
                <w:lang w:val="en-US" w:eastAsia="zh-CN"/>
              </w:rPr>
              <w:t>，不新增占地，对土壤扰动较小。项目的建设与云南省主体功能区规划不冲突。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、项目选址符合性分析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项目租用原红砖厂地块进行建设，</w:t>
            </w:r>
            <w:r>
              <w:rPr>
                <w:rFonts w:hint="default" w:ascii="Times New Roman" w:hAnsi="Times New Roman" w:eastAsia="宋体" w:cs="Times New Roman"/>
                <w:color w:val="auto"/>
                <w:sz w:val="24"/>
                <w:szCs w:val="24"/>
                <w:lang w:val="en-US" w:eastAsia="zh-CN"/>
              </w:rPr>
              <w:t>项目用地范围及其周围无古树名木及文物保护单位，不涉及基本农田、自然保护区、水源保护区、亦无需要特殊保护的环境目标，不属于风景名胜区、生态保护区和其他需要特别保护的区域，项目未占用</w:t>
            </w:r>
            <w:r>
              <w:rPr>
                <w:rFonts w:hint="eastAsia" w:ascii="Times New Roman" w:hAnsi="Times New Roman" w:eastAsia="宋体" w:cs="Times New Roman"/>
                <w:color w:val="auto"/>
                <w:sz w:val="24"/>
                <w:szCs w:val="24"/>
                <w:lang w:val="en-US" w:eastAsia="zh-CN"/>
              </w:rPr>
              <w:t>洱源县</w:t>
            </w:r>
            <w:r>
              <w:rPr>
                <w:rFonts w:hint="default" w:ascii="Times New Roman" w:hAnsi="Times New Roman" w:eastAsia="宋体" w:cs="Times New Roman"/>
                <w:color w:val="auto"/>
                <w:sz w:val="24"/>
                <w:szCs w:val="24"/>
                <w:lang w:val="en-US" w:eastAsia="zh-CN"/>
              </w:rPr>
              <w:t>生态保护红线。</w:t>
            </w:r>
            <w:r>
              <w:rPr>
                <w:rFonts w:hint="eastAsia" w:ascii="Times New Roman" w:hAnsi="Times New Roman" w:eastAsia="宋体" w:cs="Times New Roman"/>
                <w:color w:val="auto"/>
                <w:sz w:val="24"/>
                <w:szCs w:val="24"/>
                <w:lang w:val="en-US" w:eastAsia="zh-CN"/>
              </w:rPr>
              <w:t>且项目北侧紧邻乡村道路，交通便利，方便布草往来运输。项目区内水资源丰富，自来水已接通到项目区，运营期取水方便。项目区内污水管网及污水处理厂配套设施完善，项目产生的生活污水、生产废水经化粪池处理达标后，排入市政污水管网，最终进入牛街乡污水处理厂处理。综上所述，项目选址可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、平面布置合理性分析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项目位于</w:t>
            </w:r>
            <w:r>
              <w:rPr>
                <w:rFonts w:hint="eastAsia" w:ascii="Times New Roman" w:hAnsi="Times New Roman" w:eastAsia="宋体" w:cs="Times New Roman"/>
                <w:color w:val="auto"/>
                <w:sz w:val="24"/>
                <w:szCs w:val="24"/>
                <w:lang w:val="en-US" w:eastAsia="zh-CN"/>
              </w:rPr>
              <w:t>洱源县牛街乡太平村</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新建彩钢瓦洗涤厂房，并</w:t>
            </w:r>
            <w:r>
              <w:rPr>
                <w:rFonts w:hint="default" w:ascii="Times New Roman" w:hAnsi="Times New Roman" w:eastAsia="宋体" w:cs="Times New Roman"/>
                <w:color w:val="auto"/>
                <w:sz w:val="24"/>
                <w:szCs w:val="24"/>
                <w:lang w:val="en-US" w:eastAsia="zh-CN"/>
              </w:rPr>
              <w:t>安装生产设备及环保设施。其</w:t>
            </w:r>
            <w:r>
              <w:rPr>
                <w:rFonts w:hint="eastAsia" w:ascii="Times New Roman" w:hAnsi="Times New Roman" w:eastAsia="宋体" w:cs="Times New Roman"/>
                <w:color w:val="auto"/>
                <w:sz w:val="24"/>
                <w:szCs w:val="24"/>
                <w:lang w:val="en-US" w:eastAsia="zh-CN"/>
              </w:rPr>
              <w:t>洗涤厂房</w:t>
            </w:r>
            <w:r>
              <w:rPr>
                <w:rFonts w:hint="default" w:ascii="Times New Roman" w:hAnsi="Times New Roman" w:eastAsia="宋体" w:cs="Times New Roman"/>
                <w:color w:val="auto"/>
                <w:sz w:val="24"/>
                <w:szCs w:val="24"/>
                <w:lang w:val="en-US" w:eastAsia="zh-CN"/>
              </w:rPr>
              <w:t>建设整体呈现规则矩形，</w:t>
            </w:r>
            <w:r>
              <w:rPr>
                <w:rFonts w:hint="eastAsia" w:ascii="Times New Roman" w:hAnsi="Times New Roman" w:eastAsia="宋体" w:cs="Times New Roman"/>
                <w:color w:val="auto"/>
                <w:sz w:val="24"/>
                <w:szCs w:val="24"/>
                <w:lang w:val="en-US" w:eastAsia="zh-CN"/>
              </w:rPr>
              <w:t>项目设备由南至北进行布设，从南至北依次为洗脱区、烘干区、熨烫区、折叠区及成品堆放区，厂区大门位于西北侧，生活办公区位于厂区南侧，洱源县常年为西南风，西侧居民点属于项目上风向，由于项目区天然气未覆盖，项目锅炉燃料采用成型生物质燃料，锅炉燃烧产生的废气经水膜除尘器处理后，经一根30m高排气筒达标排放；大大降低了大气污染物对周边环境的影响；锅炉配套的风机噪声较大，在设计及建设阶段，对此进行了降噪考虑，锅炉房远离西北侧居民点单独设置，之间用厂房进行阻隔，且进行基础固定，安装减震垫措施，在西北侧厂界处进行绿化措施，项目区产噪设备经墙体阻隔、距离衰减及厂区绿化吸附措施大大降低了噪声对周边居民点的影响。厂区紧邻乡村道路，车辆出入交通便利，便于布草运输。整个厂区布局紧凑便捷，项目生产区按工艺流程布置生产设备。经采取以上措施，项目平面布置合理可行。项目平面布置见附图2。</w:t>
            </w: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tc>
      </w:tr>
    </w:tbl>
    <w:p>
      <w:pPr>
        <w:pStyle w:val="3"/>
        <w:bidi w:val="0"/>
        <w:rPr>
          <w:rFonts w:hint="eastAsia"/>
          <w:lang w:val="en-US" w:eastAsia="zh-CN"/>
        </w:rPr>
      </w:pPr>
      <w:r>
        <w:rPr>
          <w:rFonts w:hint="eastAsia"/>
          <w:lang w:val="en-US" w:eastAsia="zh-CN"/>
        </w:rPr>
        <w:t>二、建设项目工程分析</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Align w:val="center"/>
          </w:tcPr>
          <w:p>
            <w:pPr>
              <w:numPr>
                <w:ilvl w:val="0"/>
                <w:numId w:val="0"/>
              </w:numPr>
              <w:bidi w:val="0"/>
              <w:jc w:val="center"/>
              <w:rPr>
                <w:rFonts w:hint="default"/>
                <w:color w:val="auto"/>
                <w:vertAlign w:val="baseline"/>
                <w:lang w:val="en-US" w:eastAsia="zh-CN"/>
              </w:rPr>
            </w:pPr>
            <w:r>
              <w:rPr>
                <w:rFonts w:hint="eastAsia"/>
                <w:color w:val="auto"/>
                <w:sz w:val="24"/>
                <w:szCs w:val="24"/>
                <w:vertAlign w:val="baseline"/>
                <w:lang w:val="en-US" w:eastAsia="zh-CN"/>
              </w:rPr>
              <w:t>建设内容</w:t>
            </w:r>
          </w:p>
        </w:tc>
        <w:tc>
          <w:tcPr>
            <w:tcW w:w="806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4"/>
                <w:szCs w:val="24"/>
                <w:vertAlign w:val="baseline"/>
                <w:lang w:val="en-US" w:eastAsia="zh-CN"/>
              </w:rPr>
            </w:pPr>
            <w:r>
              <w:rPr>
                <w:rFonts w:hint="eastAsia" w:asciiTheme="minorHAnsi" w:hAnsiTheme="minorHAnsi" w:eastAsiaTheme="minorEastAsia" w:cstheme="minorBidi"/>
                <w:color w:val="auto"/>
                <w:kern w:val="2"/>
                <w:sz w:val="21"/>
                <w:szCs w:val="24"/>
                <w:vertAlign w:val="baseline"/>
                <w:lang w:val="en-US" w:eastAsia="zh-CN" w:bidi="ar-SA"/>
              </w:rPr>
              <w:t>1、</w:t>
            </w:r>
            <w:r>
              <w:rPr>
                <w:rFonts w:hint="default" w:ascii="Times New Roman" w:hAnsi="Times New Roman" w:eastAsia="宋体" w:cs="Times New Roman"/>
                <w:color w:val="auto"/>
                <w:sz w:val="24"/>
                <w:szCs w:val="24"/>
                <w:vertAlign w:val="baseline"/>
                <w:lang w:val="en-US" w:eastAsia="zh-CN"/>
              </w:rPr>
              <w:t>项目由来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随着社会经济的不断发展，地区酒店、宾馆业对配套床上用品的洗涤需求不断增加，洗涤服务市场前景广阔，经济效益高。目前，</w:t>
            </w:r>
            <w:r>
              <w:rPr>
                <w:rFonts w:hint="eastAsia" w:ascii="Times New Roman" w:hAnsi="Times New Roman" w:eastAsia="宋体" w:cs="Times New Roman"/>
                <w:color w:val="auto"/>
                <w:sz w:val="24"/>
                <w:szCs w:val="24"/>
                <w:lang w:val="en-US" w:eastAsia="zh-CN"/>
              </w:rPr>
              <w:t>洱源</w:t>
            </w:r>
            <w:r>
              <w:rPr>
                <w:rFonts w:hint="default" w:ascii="Times New Roman" w:hAnsi="Times New Roman" w:eastAsia="宋体" w:cs="Times New Roman"/>
                <w:color w:val="auto"/>
                <w:sz w:val="24"/>
                <w:szCs w:val="24"/>
                <w:lang w:val="en-US" w:eastAsia="zh-CN"/>
              </w:rPr>
              <w:t>县境内提供专业洗涤服务的单位较少，因此</w:t>
            </w:r>
            <w:r>
              <w:rPr>
                <w:rFonts w:hint="eastAsia" w:ascii="Times New Roman" w:hAnsi="Times New Roman" w:eastAsia="宋体" w:cs="Times New Roman"/>
                <w:color w:val="auto"/>
                <w:sz w:val="24"/>
                <w:szCs w:val="24"/>
                <w:lang w:val="en-US" w:eastAsia="zh-CN"/>
              </w:rPr>
              <w:t>洱源牛街馨馨洗涤中心</w:t>
            </w:r>
            <w:r>
              <w:rPr>
                <w:rFonts w:hint="default" w:ascii="Times New Roman" w:hAnsi="Times New Roman" w:eastAsia="宋体" w:cs="Times New Roman"/>
                <w:color w:val="auto"/>
                <w:sz w:val="24"/>
                <w:szCs w:val="24"/>
                <w:lang w:val="en-US" w:eastAsia="zh-CN"/>
              </w:rPr>
              <w:t>在</w:t>
            </w:r>
            <w:r>
              <w:rPr>
                <w:rFonts w:hint="eastAsia" w:ascii="Times New Roman" w:hAnsi="Times New Roman" w:eastAsia="宋体" w:cs="Times New Roman"/>
                <w:color w:val="auto"/>
                <w:sz w:val="24"/>
                <w:szCs w:val="24"/>
                <w:lang w:val="en-US" w:eastAsia="zh-CN"/>
              </w:rPr>
              <w:t>洱源</w:t>
            </w:r>
            <w:r>
              <w:rPr>
                <w:rFonts w:hint="default" w:ascii="Times New Roman" w:hAnsi="Times New Roman" w:eastAsia="宋体" w:cs="Times New Roman"/>
                <w:color w:val="auto"/>
                <w:sz w:val="24"/>
                <w:szCs w:val="24"/>
                <w:lang w:val="en-US" w:eastAsia="zh-CN"/>
              </w:rPr>
              <w:t>县</w:t>
            </w:r>
            <w:r>
              <w:rPr>
                <w:rFonts w:hint="eastAsia" w:ascii="Times New Roman" w:hAnsi="Times New Roman" w:eastAsia="宋体" w:cs="Times New Roman"/>
                <w:color w:val="auto"/>
                <w:sz w:val="24"/>
                <w:szCs w:val="24"/>
                <w:lang w:val="en-US" w:eastAsia="zh-CN"/>
              </w:rPr>
              <w:t>牛街乡太平</w:t>
            </w:r>
            <w:r>
              <w:rPr>
                <w:rFonts w:hint="default" w:ascii="Times New Roman" w:hAnsi="Times New Roman" w:eastAsia="宋体" w:cs="Times New Roman"/>
                <w:color w:val="auto"/>
                <w:sz w:val="24"/>
                <w:szCs w:val="24"/>
                <w:lang w:val="en-US" w:eastAsia="zh-CN"/>
              </w:rPr>
              <w:t>村建设“</w:t>
            </w:r>
            <w:r>
              <w:rPr>
                <w:rFonts w:hint="eastAsia" w:ascii="Times New Roman" w:hAnsi="Times New Roman" w:eastAsia="宋体" w:cs="Times New Roman"/>
                <w:color w:val="auto"/>
                <w:sz w:val="24"/>
                <w:szCs w:val="24"/>
                <w:lang w:val="en-US" w:eastAsia="zh-CN"/>
              </w:rPr>
              <w:t>洱源牛街馨馨洗涤</w:t>
            </w:r>
            <w:r>
              <w:rPr>
                <w:rFonts w:hint="default" w:ascii="Times New Roman" w:hAnsi="Times New Roman" w:eastAsia="宋体" w:cs="Times New Roman"/>
                <w:color w:val="auto"/>
                <w:sz w:val="24"/>
                <w:szCs w:val="24"/>
                <w:lang w:val="en-US" w:eastAsia="zh-CN"/>
              </w:rPr>
              <w:t>中心建设项目”，对满足地方需求及促进经济发展具有积极的意义。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为酒店布草洗涤服务，采用电锅炉进行供热，根据《建设项目环境影响评价分类管理名录（2021年）》，洗涤服务项目未纳入分类管理名录，项目采用电能锅炉，参照《名录》“四十一、电力、热力生产和供应业 91热力生产和供应工程（包括建设单位的自建自用的供热工程）”，项目不属于燃煤、燃油锅炉总容量65吨/小时（45.5兆瓦）以上的，不属于燃煤、燃油锅炉总容量65吨/小时（45.5兆瓦）及以下的；不属于天然气锅炉总容量1吨/小时（0.7兆瓦）以上的；不属于使用其他高污染燃料的（高污染燃料指国环规大气[2017]2号《高污染燃料目录》中规定的燃料）要求，根据《名录》第五条，名录未做规定的建设项目，不纳入建设项目环境影响评价管理，建设单位于2023年7月23日开工建设，同年9月初建成，在试运营过程中发现电锅炉供热未能达到生产要求，故9月建设单位将电锅炉更换为1.5t/h生物质锅炉，2024年5月将1.5t/h生物质锅炉提升改造为2.5t/h生物质锅炉，新增一套2.5t/h生物质锅炉（一备一用），目前新增的1套生物质锅炉正在安装调试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中华人民共和国环境保护法》《中华人民共和国环境影响评价法》《建设项目环境保护管理条例》等有关规定，本项目需进行环境影响评价。根据《建设项目环境影响评价分类管理名录（2021年）》，洗涤服务项目未纳入分类管理名录，根据《名录》第五条，名录未做规定的建设项目，不纳入建设项目环境影响评价管理。但本项目设置生物质锅炉，使用生物质燃料。参照《名录》“四十一、电力、热力生产和供应业 91热力生产和供应工程（包括建设单位的自建自用的供热工程）”要求，本项目需编制环境影响报告表。为此，建设单位委托我公司承担项目环境影响评价工作。我单位接受委托后，开展了现场踏勘、资料的收集和整理工作。在掌握了充分的资料数据基础上，对有关环境现状和可能产生的环境影响进行分析，根据国家建设项目环境管理的有关规定，按照环境影响评价有关技术规范，编制完成《</w:t>
            </w:r>
            <w:r>
              <w:rPr>
                <w:rFonts w:hint="eastAsia" w:ascii="Times New Roman" w:hAnsi="Times New Roman" w:eastAsia="宋体" w:cs="Times New Roman"/>
                <w:color w:val="auto"/>
                <w:sz w:val="24"/>
                <w:szCs w:val="24"/>
                <w:lang w:val="en-US" w:eastAsia="zh-CN"/>
              </w:rPr>
              <w:t>洱源牛街馨馨洗涤中心建设</w:t>
            </w:r>
            <w:r>
              <w:rPr>
                <w:rFonts w:hint="default" w:ascii="Times New Roman" w:hAnsi="Times New Roman" w:eastAsia="宋体" w:cs="Times New Roman"/>
                <w:color w:val="auto"/>
                <w:sz w:val="24"/>
                <w:szCs w:val="24"/>
                <w:lang w:val="en-US" w:eastAsia="zh-CN"/>
              </w:rPr>
              <w:t>项目环境影响报告表》，供建设单位上报</w:t>
            </w:r>
            <w:r>
              <w:rPr>
                <w:rFonts w:hint="eastAsia" w:ascii="Times New Roman" w:hAnsi="Times New Roman" w:eastAsia="宋体" w:cs="Times New Roman"/>
                <w:color w:val="auto"/>
                <w:sz w:val="24"/>
                <w:szCs w:val="24"/>
                <w:lang w:val="en-US" w:eastAsia="zh-CN"/>
              </w:rPr>
              <w:t>审批</w:t>
            </w:r>
            <w:r>
              <w:rPr>
                <w:rFonts w:hint="default" w:ascii="Times New Roman" w:hAnsi="Times New Roman" w:eastAsia="宋体" w:cs="Times New Roman"/>
                <w:color w:val="auto"/>
                <w:sz w:val="24"/>
                <w:szCs w:val="24"/>
                <w:lang w:val="en-US" w:eastAsia="zh-CN"/>
              </w:rPr>
              <w:t>，并作为环境管理的依据。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lang w:val="en-US" w:eastAsia="zh-CN"/>
              </w:rPr>
            </w:pPr>
            <w:r>
              <w:rPr>
                <w:rFonts w:hint="default" w:ascii="Times New Roman" w:hAnsi="Times New Roman" w:eastAsia="宋体" w:cs="Times New Roman"/>
                <w:color w:val="auto"/>
                <w:sz w:val="24"/>
                <w:szCs w:val="24"/>
                <w:lang w:val="en-US" w:eastAsia="zh-CN"/>
              </w:rPr>
              <w:t>现阶段，项目已取得大理白族自治州洱源县发展改革局《投资项目备案证》（2310-532930-04-05-769512），项目建设内容为620平方米厂房建设（彩钢瓦），配套设施为工业100公斤洗脱机5台，100公斤烘干机3台，烫平机</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台，折叠机1台，1.5吨蒸汽发生器1台，外加5级污水沉淀池以及污水管道铺设，软水处理设备（10吨级）1台，化粪池1个。</w:t>
            </w:r>
            <w:r>
              <w:rPr>
                <w:rFonts w:hint="eastAsia" w:ascii="Times New Roman" w:hAnsi="Times New Roman" w:eastAsia="宋体" w:cs="Times New Roman"/>
                <w:sz w:val="24"/>
                <w:szCs w:val="24"/>
                <w:lang w:val="en-US" w:eastAsia="zh-CN"/>
              </w:rPr>
              <w:t>在办理环评手续过程中，2024年4月7日云南省市场监督管理局下达《关于落实市场监管总局锅炉绿色低碳高质量发展行动实施意见的通知》，及对照《产业结构调整指导目录（2024年本）》，66、每小时2蒸吨及以下生物质锅炉为“淘汰类”，为此，建设单位对1.5t/h锅炉进行升级改造，改造成为一台2.5t/h锅</w:t>
            </w:r>
            <w:r>
              <w:rPr>
                <w:rFonts w:hint="eastAsia" w:ascii="Times New Roman" w:hAnsi="Times New Roman" w:eastAsia="宋体" w:cs="Times New Roman"/>
                <w:color w:val="auto"/>
                <w:sz w:val="24"/>
                <w:szCs w:val="24"/>
                <w:lang w:val="en-US" w:eastAsia="zh-CN"/>
              </w:rPr>
              <w:t>炉，新增一台2.5t/h生物质锅炉（目前正在安装），生物质锅炉为一备一用。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2、</w:t>
            </w:r>
            <w:r>
              <w:rPr>
                <w:rFonts w:hint="default" w:ascii="Times New Roman" w:hAnsi="Times New Roman" w:eastAsia="宋体" w:cs="Times New Roman"/>
                <w:color w:val="auto"/>
                <w:sz w:val="24"/>
                <w:szCs w:val="24"/>
                <w:lang w:val="en-US" w:eastAsia="zh-CN"/>
              </w:rPr>
              <w:t>本项目基本情况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项目名称：</w:t>
            </w:r>
            <w:r>
              <w:rPr>
                <w:rFonts w:hint="eastAsia" w:ascii="Times New Roman" w:hAnsi="Times New Roman" w:eastAsia="宋体" w:cs="Times New Roman"/>
                <w:color w:val="auto"/>
                <w:sz w:val="24"/>
                <w:szCs w:val="24"/>
                <w:lang w:val="en-US" w:eastAsia="zh-CN"/>
              </w:rPr>
              <w:t>洱源牛街馨馨洗涤</w:t>
            </w:r>
            <w:r>
              <w:rPr>
                <w:rFonts w:hint="default" w:ascii="Times New Roman" w:hAnsi="Times New Roman" w:eastAsia="宋体" w:cs="Times New Roman"/>
                <w:color w:val="auto"/>
                <w:sz w:val="24"/>
                <w:szCs w:val="24"/>
                <w:lang w:val="en-US" w:eastAsia="zh-CN"/>
              </w:rPr>
              <w:t>中心建设项目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建设单位：</w:t>
            </w:r>
            <w:r>
              <w:rPr>
                <w:rFonts w:hint="eastAsia" w:ascii="Times New Roman" w:hAnsi="Times New Roman" w:eastAsia="宋体" w:cs="Times New Roman"/>
                <w:color w:val="auto"/>
                <w:sz w:val="24"/>
                <w:szCs w:val="24"/>
                <w:lang w:val="en-US" w:eastAsia="zh-CN"/>
              </w:rPr>
              <w:t>洱源牛街馨馨洗涤中心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建设性质：新建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建设地点：</w:t>
            </w:r>
            <w:r>
              <w:rPr>
                <w:rFonts w:hint="eastAsia" w:ascii="Times New Roman" w:hAnsi="Times New Roman" w:eastAsia="宋体" w:cs="Times New Roman"/>
                <w:color w:val="auto"/>
                <w:sz w:val="24"/>
                <w:szCs w:val="24"/>
                <w:lang w:val="en-US" w:eastAsia="zh-CN"/>
              </w:rPr>
              <w:t>洱源县牛街乡太平</w:t>
            </w:r>
            <w:r>
              <w:rPr>
                <w:rFonts w:hint="default" w:ascii="Times New Roman" w:hAnsi="Times New Roman" w:eastAsia="宋体" w:cs="Times New Roman"/>
                <w:color w:val="auto"/>
                <w:sz w:val="24"/>
                <w:szCs w:val="24"/>
                <w:lang w:val="en-US" w:eastAsia="zh-CN"/>
              </w:rPr>
              <w:t>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总投资：</w:t>
            </w:r>
            <w:r>
              <w:rPr>
                <w:rFonts w:hint="eastAsia" w:ascii="Times New Roman" w:hAnsi="Times New Roman" w:eastAsia="宋体" w:cs="Times New Roman"/>
                <w:color w:val="auto"/>
                <w:sz w:val="24"/>
                <w:szCs w:val="24"/>
                <w:lang w:val="en-US" w:eastAsia="zh-CN"/>
              </w:rPr>
              <w:t>150</w:t>
            </w:r>
            <w:r>
              <w:rPr>
                <w:rFonts w:hint="default" w:ascii="Times New Roman" w:hAnsi="Times New Roman" w:eastAsia="宋体" w:cs="Times New Roman"/>
                <w:color w:val="auto"/>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3、</w:t>
            </w:r>
            <w:r>
              <w:rPr>
                <w:rFonts w:hint="default" w:ascii="Times New Roman" w:hAnsi="Times New Roman" w:eastAsia="宋体" w:cs="Times New Roman"/>
                <w:color w:val="auto"/>
                <w:sz w:val="24"/>
                <w:szCs w:val="24"/>
                <w:lang w:val="en-US" w:eastAsia="zh-CN"/>
              </w:rPr>
              <w:t>项目建设内容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项目占地</w:t>
            </w:r>
            <w:r>
              <w:rPr>
                <w:rFonts w:hint="eastAsia" w:ascii="Times New Roman" w:hAnsi="Times New Roman" w:eastAsia="宋体" w:cs="Times New Roman"/>
                <w:color w:val="auto"/>
                <w:sz w:val="24"/>
                <w:szCs w:val="24"/>
                <w:lang w:val="en-US" w:eastAsia="zh-CN"/>
              </w:rPr>
              <w:t>620</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，建筑面积</w:t>
            </w:r>
            <w:r>
              <w:rPr>
                <w:rFonts w:hint="eastAsia" w:ascii="Times New Roman" w:hAnsi="Times New Roman" w:eastAsia="宋体" w:cs="Times New Roman"/>
                <w:color w:val="auto"/>
                <w:sz w:val="24"/>
                <w:szCs w:val="24"/>
                <w:lang w:val="en-US" w:eastAsia="zh-CN"/>
              </w:rPr>
              <w:t>620m</w:t>
            </w:r>
            <w:r>
              <w:rPr>
                <w:rFonts w:hint="eastAsia"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，项目由主体工程、辅助工程、公用工程和环保工程组成，项目组成明细详见下表；</w:t>
            </w:r>
          </w:p>
          <w:p>
            <w:pPr>
              <w:bidi w:val="0"/>
              <w:jc w:val="center"/>
              <w:rPr>
                <w:rFonts w:hint="eastAsia"/>
                <w:b/>
                <w:bCs/>
                <w:color w:val="auto"/>
                <w:lang w:val="en-US" w:eastAsia="zh-CN"/>
              </w:rPr>
            </w:pPr>
            <w:r>
              <w:rPr>
                <w:rFonts w:hint="eastAsia"/>
                <w:b/>
                <w:bCs/>
                <w:color w:val="auto"/>
                <w:lang w:val="en-US" w:eastAsia="zh-CN"/>
              </w:rPr>
              <w:t>表2-1  建设项目工程组成表</w:t>
            </w:r>
          </w:p>
          <w:tbl>
            <w:tblPr>
              <w:tblStyle w:val="7"/>
              <w:tblW w:w="7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585"/>
              <w:gridCol w:w="660"/>
              <w:gridCol w:w="950"/>
              <w:gridCol w:w="5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gridSpan w:val="2"/>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工程组成</w:t>
                  </w:r>
                </w:p>
              </w:tc>
              <w:tc>
                <w:tcPr>
                  <w:tcW w:w="1610" w:type="dxa"/>
                  <w:gridSpan w:val="2"/>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建设内容</w:t>
                  </w:r>
                </w:p>
              </w:tc>
              <w:tc>
                <w:tcPr>
                  <w:tcW w:w="5195"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主体工程</w:t>
                  </w:r>
                </w:p>
              </w:tc>
              <w:tc>
                <w:tcPr>
                  <w:tcW w:w="585"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生产车间</w:t>
                  </w: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水洗</w:t>
                  </w:r>
                  <w:r>
                    <w:rPr>
                      <w:rFonts w:hint="eastAsia" w:ascii="Times New Roman" w:hAnsi="Times New Roman" w:eastAsia="宋体" w:cs="Times New Roman"/>
                      <w:color w:val="auto"/>
                      <w:sz w:val="21"/>
                      <w:szCs w:val="21"/>
                      <w:vertAlign w:val="baseline"/>
                      <w:lang w:val="en-US" w:eastAsia="zh-CN"/>
                    </w:rPr>
                    <w:t>、脱水</w:t>
                  </w:r>
                  <w:r>
                    <w:rPr>
                      <w:rFonts w:hint="default" w:ascii="Times New Roman" w:hAnsi="Times New Roman" w:eastAsia="宋体" w:cs="Times New Roman"/>
                      <w:color w:val="auto"/>
                      <w:sz w:val="21"/>
                      <w:szCs w:val="21"/>
                      <w:vertAlign w:val="baseline"/>
                      <w:lang w:val="en-US" w:eastAsia="zh-CN"/>
                    </w:rPr>
                    <w:t>区</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位于</w:t>
                  </w:r>
                  <w:r>
                    <w:rPr>
                      <w:rFonts w:hint="eastAsia" w:ascii="Times New Roman" w:hAnsi="Times New Roman" w:eastAsia="宋体" w:cs="Times New Roman"/>
                      <w:color w:val="auto"/>
                      <w:sz w:val="21"/>
                      <w:szCs w:val="21"/>
                      <w:vertAlign w:val="baseline"/>
                      <w:lang w:val="en-US" w:eastAsia="zh-CN"/>
                    </w:rPr>
                    <w:t>厂房南侧，设置5台100kg全自动工业洗脱机（已建成）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585"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Align w:val="center"/>
                </w:tcPr>
                <w:p>
                  <w:pPr>
                    <w:bidi w:val="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烘干区</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位于水洗区北侧，设置3台100kg自动工业烘干机（已建成）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585"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脏布草分拣区</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位于厂房西北侧，采用人工分拣，设置多工位分拣台（已建成）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585"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布草熨烫区</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位于烘干区北侧，设置1台3.3米四辊烫平机（已建成），1台3.3米五辊烫平机（新增）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585"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布草折叠区</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位于熨烫区北侧，设置1台3.3米全自动折叠机（已建成）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7"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585"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干净布草储存区</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位于厂房东北侧，占地面积100m</w:t>
                  </w:r>
                  <w:r>
                    <w:rPr>
                      <w:rFonts w:hint="eastAsia" w:ascii="Times New Roman" w:hAnsi="Times New Roman" w:eastAsia="宋体" w:cs="Times New Roman"/>
                      <w:color w:val="auto"/>
                      <w:sz w:val="21"/>
                      <w:szCs w:val="21"/>
                      <w:vertAlign w:val="superscript"/>
                      <w:lang w:val="en-US" w:eastAsia="zh-CN"/>
                    </w:rPr>
                    <w:t>2</w:t>
                  </w:r>
                  <w:r>
                    <w:rPr>
                      <w:rFonts w:hint="eastAsia" w:ascii="Times New Roman" w:hAnsi="Times New Roman" w:eastAsia="宋体" w:cs="Times New Roman"/>
                      <w:color w:val="auto"/>
                      <w:sz w:val="21"/>
                      <w:szCs w:val="21"/>
                      <w:vertAlign w:val="baseli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gridSpan w:val="2"/>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辅助工程</w:t>
                  </w: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锅炉房</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项目设置</w:t>
                  </w:r>
                  <w:r>
                    <w:rPr>
                      <w:rFonts w:hint="eastAsia" w:ascii="Times New Roman" w:hAnsi="Times New Roman" w:eastAsia="宋体" w:cs="Times New Roman"/>
                      <w:color w:val="auto"/>
                      <w:sz w:val="21"/>
                      <w:szCs w:val="21"/>
                      <w:vertAlign w:val="baseline"/>
                      <w:lang w:val="en-US" w:eastAsia="zh-CN"/>
                    </w:rPr>
                    <w:t>2</w:t>
                  </w:r>
                  <w:r>
                    <w:rPr>
                      <w:rFonts w:hint="default" w:ascii="Times New Roman" w:hAnsi="Times New Roman" w:eastAsia="宋体" w:cs="Times New Roman"/>
                      <w:color w:val="auto"/>
                      <w:sz w:val="21"/>
                      <w:szCs w:val="21"/>
                      <w:vertAlign w:val="baseline"/>
                      <w:lang w:val="en-US" w:eastAsia="zh-CN"/>
                    </w:rPr>
                    <w:t>套</w:t>
                  </w:r>
                  <w:r>
                    <w:rPr>
                      <w:rFonts w:hint="eastAsia" w:ascii="Times New Roman" w:hAnsi="Times New Roman" w:eastAsia="宋体" w:cs="Times New Roman"/>
                      <w:color w:val="auto"/>
                      <w:sz w:val="21"/>
                      <w:szCs w:val="21"/>
                      <w:vertAlign w:val="baseline"/>
                      <w:lang w:val="en-US" w:eastAsia="zh-CN"/>
                    </w:rPr>
                    <w:t>2.5</w:t>
                  </w:r>
                  <w:r>
                    <w:rPr>
                      <w:rFonts w:hint="default" w:ascii="Times New Roman" w:hAnsi="Times New Roman" w:eastAsia="宋体" w:cs="Times New Roman"/>
                      <w:color w:val="auto"/>
                      <w:sz w:val="21"/>
                      <w:szCs w:val="21"/>
                      <w:vertAlign w:val="baseline"/>
                      <w:lang w:val="en-US" w:eastAsia="zh-CN"/>
                    </w:rPr>
                    <w:t>t/h锅炉，</w:t>
                  </w:r>
                  <w:r>
                    <w:rPr>
                      <w:rFonts w:hint="eastAsia" w:ascii="Times New Roman" w:hAnsi="Times New Roman" w:eastAsia="宋体" w:cs="Times New Roman"/>
                      <w:color w:val="auto"/>
                      <w:sz w:val="21"/>
                      <w:szCs w:val="21"/>
                      <w:vertAlign w:val="baseline"/>
                      <w:lang w:val="en-US" w:eastAsia="zh-CN"/>
                    </w:rPr>
                    <w:t>位于厂房东南侧，占地面积10m</w:t>
                  </w:r>
                  <w:r>
                    <w:rPr>
                      <w:rFonts w:hint="eastAsia" w:ascii="Times New Roman" w:hAnsi="Times New Roman" w:eastAsia="宋体" w:cs="Times New Roman"/>
                      <w:color w:val="auto"/>
                      <w:sz w:val="21"/>
                      <w:szCs w:val="21"/>
                      <w:vertAlign w:val="superscript"/>
                      <w:lang w:val="en-US" w:eastAsia="zh-CN"/>
                    </w:rPr>
                    <w:t>2</w:t>
                  </w:r>
                  <w:r>
                    <w:rPr>
                      <w:rFonts w:hint="eastAsia" w:ascii="Times New Roman" w:hAnsi="Times New Roman" w:eastAsia="宋体" w:cs="Times New Roman"/>
                      <w:color w:val="auto"/>
                      <w:sz w:val="21"/>
                      <w:szCs w:val="21"/>
                      <w:vertAlign w:val="baseline"/>
                      <w:lang w:val="en-US" w:eastAsia="zh-CN"/>
                    </w:rPr>
                    <w:t>，彩钢瓦顶棚遮盖（已建成1套，新增1套，一备一用）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水净化</w:t>
                  </w:r>
                  <w:r>
                    <w:rPr>
                      <w:rFonts w:hint="eastAsia" w:ascii="Times New Roman" w:hAnsi="Times New Roman" w:eastAsia="宋体" w:cs="Times New Roman"/>
                      <w:color w:val="auto"/>
                      <w:sz w:val="21"/>
                      <w:szCs w:val="21"/>
                      <w:vertAlign w:val="baseline"/>
                      <w:lang w:val="en-US" w:eastAsia="zh-CN"/>
                    </w:rPr>
                    <w:t>设备</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设置3套软水处理设施，1套位于厂区北侧，占地面积20m</w:t>
                  </w:r>
                  <w:r>
                    <w:rPr>
                      <w:rFonts w:hint="eastAsia" w:ascii="Times New Roman" w:hAnsi="Times New Roman" w:eastAsia="宋体" w:cs="Times New Roman"/>
                      <w:color w:val="auto"/>
                      <w:sz w:val="21"/>
                      <w:szCs w:val="21"/>
                      <w:vertAlign w:val="superscript"/>
                      <w:lang w:val="en-US" w:eastAsia="zh-CN"/>
                    </w:rPr>
                    <w:t>2</w:t>
                  </w:r>
                  <w:r>
                    <w:rPr>
                      <w:rFonts w:hint="eastAsia" w:ascii="Times New Roman" w:hAnsi="Times New Roman" w:eastAsia="宋体" w:cs="Times New Roman"/>
                      <w:color w:val="auto"/>
                      <w:sz w:val="21"/>
                      <w:szCs w:val="21"/>
                      <w:vertAlign w:val="baseline"/>
                      <w:lang w:val="en-US" w:eastAsia="zh-CN"/>
                    </w:rPr>
                    <w:t>（已建成），其他2套为生物质锅炉自带软水设备。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gridSpan w:val="2"/>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公用工程</w:t>
                  </w: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供水</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项目使用山箐水（已取得洱源县牛街乡太平村委会相关证明文件，见附件），项目生产用水经水净化处理间处理后使用。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供电</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由市政供电管网接入。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排水</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项目采取雨污分流制，项目区雨水经雨水管道、沟渠收集后，排入周边地表水体；项目设置化粪池，运营期产生的生活污水、生产废水经化粪池处理达标后，排入市政污水管网，最终进入牛街乡污水处理厂。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Align w:val="center"/>
                </w:tcPr>
                <w:p>
                  <w:pPr>
                    <w:bidi w:val="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办公区</w:t>
                  </w:r>
                </w:p>
              </w:tc>
              <w:tc>
                <w:tcPr>
                  <w:tcW w:w="5195" w:type="dxa"/>
                  <w:vAlign w:val="center"/>
                </w:tcPr>
                <w:p>
                  <w:pPr>
                    <w:bidi w:val="0"/>
                    <w:jc w:val="center"/>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位于厂区南侧，</w:t>
                  </w:r>
                  <w:r>
                    <w:rPr>
                      <w:rFonts w:hint="eastAsia" w:ascii="Times New Roman" w:hAnsi="Times New Roman" w:eastAsia="宋体" w:cs="Times New Roman"/>
                      <w:color w:val="auto"/>
                      <w:sz w:val="21"/>
                      <w:szCs w:val="21"/>
                      <w:lang w:val="en-US" w:eastAsia="zh-CN"/>
                    </w:rPr>
                    <w:t>包括办公室、职工宿舍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gridSpan w:val="2"/>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环保工程</w:t>
                  </w:r>
                </w:p>
              </w:tc>
              <w:tc>
                <w:tcPr>
                  <w:tcW w:w="66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废气</w:t>
                  </w:r>
                </w:p>
              </w:tc>
              <w:tc>
                <w:tcPr>
                  <w:tcW w:w="95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锅炉废气</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项目设置</w:t>
                  </w:r>
                  <w:r>
                    <w:rPr>
                      <w:rFonts w:hint="eastAsia" w:ascii="Times New Roman" w:hAnsi="Times New Roman" w:eastAsia="宋体" w:cs="Times New Roman"/>
                      <w:color w:val="auto"/>
                      <w:sz w:val="21"/>
                      <w:szCs w:val="21"/>
                      <w:vertAlign w:val="baseline"/>
                      <w:lang w:val="en-US" w:eastAsia="zh-CN"/>
                    </w:rPr>
                    <w:t>2</w:t>
                  </w:r>
                  <w:r>
                    <w:rPr>
                      <w:rFonts w:hint="default" w:ascii="Times New Roman" w:hAnsi="Times New Roman" w:eastAsia="宋体" w:cs="Times New Roman"/>
                      <w:color w:val="auto"/>
                      <w:sz w:val="21"/>
                      <w:szCs w:val="21"/>
                      <w:vertAlign w:val="baseline"/>
                      <w:lang w:val="en-US" w:eastAsia="zh-CN"/>
                    </w:rPr>
                    <w:t>套</w:t>
                  </w:r>
                  <w:r>
                    <w:rPr>
                      <w:rFonts w:hint="eastAsia" w:ascii="Times New Roman" w:hAnsi="Times New Roman" w:eastAsia="宋体" w:cs="Times New Roman"/>
                      <w:color w:val="auto"/>
                      <w:sz w:val="21"/>
                      <w:szCs w:val="21"/>
                      <w:vertAlign w:val="baseline"/>
                      <w:lang w:val="en-US" w:eastAsia="zh-CN"/>
                    </w:rPr>
                    <w:t>2.5</w:t>
                  </w:r>
                  <w:r>
                    <w:rPr>
                      <w:rFonts w:hint="default" w:ascii="Times New Roman" w:hAnsi="Times New Roman" w:eastAsia="宋体" w:cs="Times New Roman"/>
                      <w:color w:val="auto"/>
                      <w:sz w:val="21"/>
                      <w:szCs w:val="21"/>
                      <w:vertAlign w:val="baseline"/>
                      <w:lang w:val="en-US" w:eastAsia="zh-CN"/>
                    </w:rPr>
                    <w:t>t/h锅炉，</w:t>
                  </w:r>
                  <w:r>
                    <w:rPr>
                      <w:rFonts w:hint="eastAsia" w:ascii="Times New Roman" w:hAnsi="Times New Roman" w:eastAsia="宋体" w:cs="Times New Roman"/>
                      <w:color w:val="auto"/>
                      <w:sz w:val="21"/>
                      <w:szCs w:val="21"/>
                      <w:vertAlign w:val="baseline"/>
                      <w:lang w:val="en-US" w:eastAsia="zh-CN"/>
                    </w:rPr>
                    <w:t>设置2套水膜除尘器，锅炉废气经水膜除尘器处理后，</w:t>
                  </w:r>
                  <w:r>
                    <w:rPr>
                      <w:rFonts w:hint="default" w:ascii="Times New Roman" w:hAnsi="Times New Roman" w:eastAsia="宋体" w:cs="Times New Roman"/>
                      <w:color w:val="auto"/>
                      <w:sz w:val="21"/>
                      <w:szCs w:val="21"/>
                      <w:vertAlign w:val="baseline"/>
                      <w:lang w:val="en-US" w:eastAsia="zh-CN"/>
                    </w:rPr>
                    <w:t>经</w:t>
                  </w:r>
                  <w:r>
                    <w:rPr>
                      <w:rFonts w:hint="eastAsia" w:ascii="Times New Roman" w:hAnsi="Times New Roman" w:eastAsia="宋体" w:cs="Times New Roman"/>
                      <w:color w:val="auto"/>
                      <w:sz w:val="21"/>
                      <w:szCs w:val="21"/>
                      <w:vertAlign w:val="baseline"/>
                      <w:lang w:val="en-US" w:eastAsia="zh-CN"/>
                    </w:rPr>
                    <w:t>1根30</w:t>
                  </w:r>
                  <w:r>
                    <w:rPr>
                      <w:rFonts w:hint="default" w:ascii="Times New Roman" w:hAnsi="Times New Roman" w:eastAsia="宋体" w:cs="Times New Roman"/>
                      <w:color w:val="auto"/>
                      <w:sz w:val="21"/>
                      <w:szCs w:val="21"/>
                      <w:vertAlign w:val="baseline"/>
                      <w:lang w:val="en-US" w:eastAsia="zh-CN"/>
                    </w:rPr>
                    <w:t>m排气筒排放。</w:t>
                  </w:r>
                  <w:r>
                    <w:rPr>
                      <w:rFonts w:hint="eastAsia" w:ascii="Times New Roman" w:hAnsi="Times New Roman" w:eastAsia="宋体" w:cs="Times New Roman"/>
                      <w:color w:val="auto"/>
                      <w:sz w:val="21"/>
                      <w:szCs w:val="21"/>
                      <w:vertAlign w:val="baseline"/>
                      <w:lang w:val="en-US" w:eastAsia="zh-CN"/>
                    </w:rPr>
                    <w:t>（目前排气筒高度为15米，未达到30m要求，本次环评要求增加排气筒高度）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660"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废水</w:t>
                  </w:r>
                </w:p>
              </w:tc>
              <w:tc>
                <w:tcPr>
                  <w:tcW w:w="95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生产区化粪</w:t>
                  </w:r>
                  <w:r>
                    <w:rPr>
                      <w:rFonts w:hint="default" w:ascii="Times New Roman" w:hAnsi="Times New Roman" w:eastAsia="宋体" w:cs="Times New Roman"/>
                      <w:color w:val="auto"/>
                      <w:sz w:val="21"/>
                      <w:szCs w:val="21"/>
                      <w:vertAlign w:val="baseline"/>
                      <w:lang w:val="en-US" w:eastAsia="zh-CN"/>
                    </w:rPr>
                    <w:t>池</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位于厂房东侧，目前化粪池为6格沉淀，共45m³，未能满足项目要求，本次环评要求增加化粪池容积，化粪池容积不低于80m³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660"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950" w:type="dxa"/>
                  <w:vAlign w:val="center"/>
                </w:tcPr>
                <w:p>
                  <w:pPr>
                    <w:bidi w:val="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生活区化粪池</w:t>
                  </w:r>
                </w:p>
              </w:tc>
              <w:tc>
                <w:tcPr>
                  <w:tcW w:w="5195" w:type="dxa"/>
                  <w:vAlign w:val="center"/>
                </w:tcPr>
                <w:p>
                  <w:pPr>
                    <w:bidi w:val="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位于厂区南侧，容积4m³（已建成）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噪声</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所有生产设施设置于厂房内</w:t>
                  </w:r>
                  <w:r>
                    <w:rPr>
                      <w:rFonts w:hint="eastAsia" w:ascii="Times New Roman" w:hAnsi="Times New Roman" w:eastAsia="宋体" w:cs="Times New Roman"/>
                      <w:color w:val="auto"/>
                      <w:sz w:val="21"/>
                      <w:szCs w:val="21"/>
                      <w:vertAlign w:val="baseline"/>
                      <w:lang w:val="en-US" w:eastAsia="zh-CN"/>
                    </w:rPr>
                    <w:t>，锅炉房风机噪声较大，将锅炉房单独设置于东南侧，远离西侧居民点，对产噪较大的风机进行基础固定，安装防震垫。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固废</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生活垃圾由环卫部门统一收集处置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炉渣、</w:t>
                  </w:r>
                  <w:r>
                    <w:rPr>
                      <w:rFonts w:hint="eastAsia" w:ascii="Times New Roman" w:hAnsi="Times New Roman" w:eastAsia="宋体" w:cs="Times New Roman"/>
                      <w:color w:val="auto"/>
                      <w:sz w:val="21"/>
                      <w:szCs w:val="21"/>
                      <w:vertAlign w:val="baseline"/>
                      <w:lang w:val="en-US" w:eastAsia="zh-CN"/>
                    </w:rPr>
                    <w:t>灰渣、</w:t>
                  </w:r>
                  <w:r>
                    <w:rPr>
                      <w:rFonts w:hint="default" w:ascii="Times New Roman" w:hAnsi="Times New Roman" w:eastAsia="宋体" w:cs="Times New Roman"/>
                      <w:color w:val="auto"/>
                      <w:sz w:val="21"/>
                      <w:szCs w:val="21"/>
                      <w:vertAlign w:val="baseline"/>
                      <w:lang w:val="en-US" w:eastAsia="zh-CN"/>
                    </w:rPr>
                    <w:t>化粪池污泥交由周边农户清运作肥</w:t>
                  </w:r>
                  <w:r>
                    <w:rPr>
                      <w:rFonts w:hint="eastAsia" w:ascii="Times New Roman" w:hAnsi="Times New Roman" w:eastAsia="宋体" w:cs="Times New Roman"/>
                      <w:color w:val="auto"/>
                      <w:sz w:val="21"/>
                      <w:szCs w:val="21"/>
                      <w:vertAlign w:val="baseline"/>
                      <w:lang w:val="en-US" w:eastAsia="zh-CN"/>
                    </w:rPr>
                    <w:t>（目前炉渣堆放区为露天堆放，本次环评要求对炉渣进行入室堆放措施）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洗涤剂包装料经统一收集后，外售。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2" w:type="dxa"/>
                  <w:gridSpan w:val="2"/>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610" w:type="dxa"/>
                  <w:gridSpan w:val="2"/>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绿化</w:t>
                  </w:r>
                </w:p>
              </w:tc>
              <w:tc>
                <w:tcPr>
                  <w:tcW w:w="519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绿化面积400m</w:t>
                  </w:r>
                  <w:r>
                    <w:rPr>
                      <w:rFonts w:hint="eastAsia" w:ascii="Times New Roman" w:hAnsi="Times New Roman" w:eastAsia="宋体" w:cs="Times New Roman"/>
                      <w:color w:val="auto"/>
                      <w:sz w:val="21"/>
                      <w:szCs w:val="21"/>
                      <w:vertAlign w:val="superscript"/>
                      <w:lang w:val="en-US" w:eastAsia="zh-CN"/>
                    </w:rPr>
                    <w:t>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auto"/>
                <w:sz w:val="24"/>
                <w:szCs w:val="24"/>
                <w:lang w:val="en-US" w:eastAsia="zh-CN"/>
              </w:rPr>
            </w:pPr>
            <w:r>
              <w:rPr>
                <w:rFonts w:hint="eastAsia" w:asciiTheme="minorHAnsi" w:hAnsiTheme="minorHAnsi" w:eastAsiaTheme="minorEastAsia" w:cstheme="minorBidi"/>
                <w:color w:val="auto"/>
                <w:kern w:val="2"/>
                <w:sz w:val="21"/>
                <w:szCs w:val="24"/>
                <w:lang w:val="en-US" w:eastAsia="zh-CN" w:bidi="ar-SA"/>
              </w:rPr>
              <w:t>4、</w:t>
            </w:r>
            <w:r>
              <w:rPr>
                <w:rFonts w:hint="default" w:ascii="Times New Roman" w:hAnsi="Times New Roman" w:eastAsia="宋体" w:cs="Times New Roman"/>
                <w:color w:val="auto"/>
                <w:sz w:val="24"/>
                <w:szCs w:val="24"/>
                <w:lang w:val="en-US" w:eastAsia="zh-CN"/>
              </w:rPr>
              <w:t>项目产品方案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项目主要涉及床单被罩清洗，</w:t>
            </w:r>
            <w:r>
              <w:rPr>
                <w:rFonts w:hint="eastAsia" w:ascii="Times New Roman" w:hAnsi="Times New Roman" w:eastAsia="宋体" w:cs="Times New Roman"/>
                <w:color w:val="auto"/>
                <w:sz w:val="24"/>
                <w:szCs w:val="24"/>
                <w:lang w:val="en-US" w:eastAsia="zh-CN"/>
              </w:rPr>
              <w:t>新建一条布草洗涤线，年运行360天，每天1班，每天10小时，</w:t>
            </w:r>
            <w:r>
              <w:rPr>
                <w:rFonts w:hint="default" w:ascii="Times New Roman" w:hAnsi="Times New Roman" w:eastAsia="宋体" w:cs="Times New Roman"/>
                <w:color w:val="auto"/>
                <w:sz w:val="24"/>
                <w:szCs w:val="24"/>
                <w:lang w:val="en-US" w:eastAsia="zh-CN"/>
              </w:rPr>
              <w:t>项目产品方案见下表；</w:t>
            </w:r>
          </w:p>
          <w:p>
            <w:pPr>
              <w:bidi w:val="0"/>
              <w:jc w:val="center"/>
              <w:rPr>
                <w:rFonts w:hint="eastAsia"/>
                <w:b/>
                <w:bCs/>
                <w:color w:val="auto"/>
                <w:lang w:val="en-US" w:eastAsia="zh-CN"/>
              </w:rPr>
            </w:pPr>
            <w:r>
              <w:rPr>
                <w:rFonts w:hint="eastAsia"/>
                <w:b/>
                <w:bCs/>
                <w:color w:val="auto"/>
                <w:lang w:val="en-US" w:eastAsia="zh-CN"/>
              </w:rPr>
              <w:t>表2-2  项目产品方案</w:t>
            </w:r>
          </w:p>
          <w:tbl>
            <w:tblPr>
              <w:tblStyle w:val="7"/>
              <w:tblW w:w="7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3075"/>
              <w:gridCol w:w="1465"/>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9"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产品名称</w:t>
                  </w:r>
                </w:p>
              </w:tc>
              <w:tc>
                <w:tcPr>
                  <w:tcW w:w="3075"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洗涤</w:t>
                  </w:r>
                  <w:r>
                    <w:rPr>
                      <w:rFonts w:hint="default" w:ascii="Times New Roman" w:hAnsi="Times New Roman" w:eastAsia="宋体" w:cs="Times New Roman"/>
                      <w:b/>
                      <w:bCs/>
                      <w:color w:val="auto"/>
                      <w:sz w:val="21"/>
                      <w:szCs w:val="21"/>
                      <w:lang w:val="en-US" w:eastAsia="zh-CN"/>
                    </w:rPr>
                    <w:t>量（套）</w:t>
                  </w:r>
                </w:p>
              </w:tc>
              <w:tc>
                <w:tcPr>
                  <w:tcW w:w="1465"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运行时间</w:t>
                  </w:r>
                </w:p>
              </w:tc>
              <w:tc>
                <w:tcPr>
                  <w:tcW w:w="1960"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9"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床单被罩</w:t>
                  </w:r>
                </w:p>
              </w:tc>
              <w:tc>
                <w:tcPr>
                  <w:tcW w:w="3075"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2500套/d（90</w:t>
                  </w:r>
                  <w:r>
                    <w:rPr>
                      <w:rFonts w:hint="default" w:ascii="Times New Roman" w:hAnsi="Times New Roman" w:eastAsia="宋体" w:cs="Times New Roman"/>
                      <w:color w:val="auto"/>
                      <w:sz w:val="21"/>
                      <w:szCs w:val="21"/>
                      <w:lang w:val="en-US" w:eastAsia="zh-CN"/>
                    </w:rPr>
                    <w:t>万</w:t>
                  </w:r>
                  <w:r>
                    <w:rPr>
                      <w:rFonts w:hint="eastAsia" w:ascii="Times New Roman" w:hAnsi="Times New Roman" w:eastAsia="宋体" w:cs="Times New Roman"/>
                      <w:color w:val="auto"/>
                      <w:sz w:val="21"/>
                      <w:szCs w:val="21"/>
                      <w:lang w:val="en-US" w:eastAsia="zh-CN"/>
                    </w:rPr>
                    <w:t>套/a）</w:t>
                  </w:r>
                </w:p>
              </w:tc>
              <w:tc>
                <w:tcPr>
                  <w:tcW w:w="1465"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3600小时</w:t>
                  </w:r>
                </w:p>
              </w:tc>
              <w:tc>
                <w:tcPr>
                  <w:tcW w:w="1960"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每套重量为2kg</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auto"/>
                <w:sz w:val="24"/>
                <w:szCs w:val="24"/>
                <w:lang w:val="en-US" w:eastAsia="zh-CN"/>
              </w:rPr>
            </w:pPr>
            <w:r>
              <w:rPr>
                <w:rFonts w:hint="eastAsia" w:asciiTheme="minorHAnsi" w:hAnsiTheme="minorHAnsi" w:eastAsiaTheme="minorEastAsia" w:cstheme="minorBidi"/>
                <w:color w:val="auto"/>
                <w:kern w:val="2"/>
                <w:sz w:val="21"/>
                <w:szCs w:val="24"/>
                <w:lang w:val="en-US" w:eastAsia="zh-CN" w:bidi="ar-SA"/>
              </w:rPr>
              <w:t>5、</w:t>
            </w:r>
            <w:r>
              <w:rPr>
                <w:rFonts w:hint="default" w:ascii="Times New Roman" w:hAnsi="Times New Roman" w:eastAsia="宋体" w:cs="Times New Roman"/>
                <w:color w:val="auto"/>
                <w:sz w:val="24"/>
                <w:szCs w:val="24"/>
                <w:lang w:val="en-US" w:eastAsia="zh-CN"/>
              </w:rPr>
              <w:t>项目原辅材料及消耗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运营期项目主要原辅材料明细见下表；</w:t>
            </w:r>
          </w:p>
          <w:p>
            <w:pPr>
              <w:bidi w:val="0"/>
              <w:jc w:val="center"/>
              <w:rPr>
                <w:rFonts w:hint="eastAsia"/>
                <w:b/>
                <w:bCs/>
                <w:color w:val="auto"/>
                <w:lang w:val="en-US" w:eastAsia="zh-CN"/>
              </w:rPr>
            </w:pPr>
            <w:r>
              <w:rPr>
                <w:rFonts w:hint="eastAsia"/>
                <w:b/>
                <w:bCs/>
                <w:color w:val="auto"/>
                <w:lang w:val="en-US" w:eastAsia="zh-CN"/>
              </w:rPr>
              <w:t>表2-3  项目原辅材料消耗情况</w:t>
            </w:r>
          </w:p>
          <w:tbl>
            <w:tblPr>
              <w:tblStyle w:val="7"/>
              <w:tblW w:w="7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1597"/>
              <w:gridCol w:w="1219"/>
              <w:gridCol w:w="813"/>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7"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名称</w:t>
                  </w:r>
                </w:p>
              </w:tc>
              <w:tc>
                <w:tcPr>
                  <w:tcW w:w="1597"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年用量（t/a）</w:t>
                  </w:r>
                </w:p>
              </w:tc>
              <w:tc>
                <w:tcPr>
                  <w:tcW w:w="1219"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包装形式</w:t>
                  </w:r>
                </w:p>
              </w:tc>
              <w:tc>
                <w:tcPr>
                  <w:tcW w:w="813"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来源</w:t>
                  </w:r>
                </w:p>
              </w:tc>
              <w:tc>
                <w:tcPr>
                  <w:tcW w:w="2323"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7"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洗衣粉</w:t>
                  </w:r>
                </w:p>
              </w:tc>
              <w:tc>
                <w:tcPr>
                  <w:tcW w:w="159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w:t>
                  </w:r>
                </w:p>
              </w:tc>
              <w:tc>
                <w:tcPr>
                  <w:tcW w:w="1219"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20kg/袋</w:t>
                  </w:r>
                </w:p>
              </w:tc>
              <w:tc>
                <w:tcPr>
                  <w:tcW w:w="813"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外购</w:t>
                  </w:r>
                </w:p>
              </w:tc>
              <w:tc>
                <w:tcPr>
                  <w:tcW w:w="2323"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布草污渍洗涤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7"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乳化剂</w:t>
                  </w:r>
                </w:p>
              </w:tc>
              <w:tc>
                <w:tcPr>
                  <w:tcW w:w="159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2.17</w:t>
                  </w:r>
                </w:p>
              </w:tc>
              <w:tc>
                <w:tcPr>
                  <w:tcW w:w="1219"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60kg/桶</w:t>
                  </w:r>
                </w:p>
              </w:tc>
              <w:tc>
                <w:tcPr>
                  <w:tcW w:w="813"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外购</w:t>
                  </w:r>
                </w:p>
              </w:tc>
              <w:tc>
                <w:tcPr>
                  <w:tcW w:w="2323"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重污布草处理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7"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彩漂粉</w:t>
                  </w:r>
                </w:p>
              </w:tc>
              <w:tc>
                <w:tcPr>
                  <w:tcW w:w="159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10.82</w:t>
                  </w:r>
                </w:p>
              </w:tc>
              <w:tc>
                <w:tcPr>
                  <w:tcW w:w="1219"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60kg/桶</w:t>
                  </w:r>
                </w:p>
              </w:tc>
              <w:tc>
                <w:tcPr>
                  <w:tcW w:w="813"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外购</w:t>
                  </w:r>
                </w:p>
              </w:tc>
              <w:tc>
                <w:tcPr>
                  <w:tcW w:w="2323"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布草洗涤消毒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7"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柔顺粉</w:t>
                  </w:r>
                </w:p>
              </w:tc>
              <w:tc>
                <w:tcPr>
                  <w:tcW w:w="159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219"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60kg/桶</w:t>
                  </w:r>
                </w:p>
              </w:tc>
              <w:tc>
                <w:tcPr>
                  <w:tcW w:w="813"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外购</w:t>
                  </w:r>
                </w:p>
              </w:tc>
              <w:tc>
                <w:tcPr>
                  <w:tcW w:w="2323"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巾类软化增柔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7"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中和酸</w:t>
                  </w:r>
                </w:p>
              </w:tc>
              <w:tc>
                <w:tcPr>
                  <w:tcW w:w="159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3.32</w:t>
                  </w:r>
                </w:p>
              </w:tc>
              <w:tc>
                <w:tcPr>
                  <w:tcW w:w="1219"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60kg/桶</w:t>
                  </w:r>
                </w:p>
              </w:tc>
              <w:tc>
                <w:tcPr>
                  <w:tcW w:w="813"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外购</w:t>
                  </w:r>
                </w:p>
              </w:tc>
              <w:tc>
                <w:tcPr>
                  <w:tcW w:w="2323"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中和洗涤化料增白布草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7" w:type="dxa"/>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碱性助洗剂</w:t>
                  </w:r>
                </w:p>
              </w:tc>
              <w:tc>
                <w:tcPr>
                  <w:tcW w:w="159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3.32</w:t>
                  </w:r>
                </w:p>
              </w:tc>
              <w:tc>
                <w:tcPr>
                  <w:tcW w:w="1219"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60kg/桶</w:t>
                  </w:r>
                </w:p>
              </w:tc>
              <w:tc>
                <w:tcPr>
                  <w:tcW w:w="813"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外购</w:t>
                  </w:r>
                </w:p>
              </w:tc>
              <w:tc>
                <w:tcPr>
                  <w:tcW w:w="2323"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洗涤</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项目能耗明细见下表；</w:t>
            </w:r>
          </w:p>
          <w:p>
            <w:pPr>
              <w:bidi w:val="0"/>
              <w:jc w:val="center"/>
              <w:rPr>
                <w:rFonts w:hint="eastAsia"/>
                <w:b/>
                <w:bCs/>
                <w:color w:val="auto"/>
                <w:lang w:val="en-US" w:eastAsia="zh-CN"/>
              </w:rPr>
            </w:pPr>
            <w:r>
              <w:rPr>
                <w:rFonts w:hint="eastAsia"/>
                <w:b/>
                <w:bCs/>
                <w:color w:val="auto"/>
                <w:lang w:val="en-US" w:eastAsia="zh-CN"/>
              </w:rPr>
              <w:t>表2-4  项目能耗明细表</w:t>
            </w:r>
          </w:p>
          <w:tbl>
            <w:tblPr>
              <w:tblStyle w:val="7"/>
              <w:tblW w:w="7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960"/>
              <w:gridCol w:w="1960"/>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0"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物料名称</w:t>
                  </w:r>
                </w:p>
              </w:tc>
              <w:tc>
                <w:tcPr>
                  <w:tcW w:w="1960"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单位</w:t>
                  </w:r>
                </w:p>
              </w:tc>
              <w:tc>
                <w:tcPr>
                  <w:tcW w:w="1960"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年用量</w:t>
                  </w:r>
                </w:p>
              </w:tc>
              <w:tc>
                <w:tcPr>
                  <w:tcW w:w="1961"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0"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新鲜水</w:t>
                  </w:r>
                </w:p>
              </w:tc>
              <w:tc>
                <w:tcPr>
                  <w:tcW w:w="1960"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T/a</w:t>
                  </w:r>
                </w:p>
              </w:tc>
              <w:tc>
                <w:tcPr>
                  <w:tcW w:w="1960"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39058.8</w:t>
                  </w:r>
                </w:p>
              </w:tc>
              <w:tc>
                <w:tcPr>
                  <w:tcW w:w="1961"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山箐水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60"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电</w:t>
                  </w:r>
                </w:p>
              </w:tc>
              <w:tc>
                <w:tcPr>
                  <w:tcW w:w="1960"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万kw*h/a</w:t>
                  </w:r>
                </w:p>
              </w:tc>
              <w:tc>
                <w:tcPr>
                  <w:tcW w:w="1960"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c>
                <w:tcPr>
                  <w:tcW w:w="1961"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电网提供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0"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生物质燃料</w:t>
                  </w:r>
                </w:p>
              </w:tc>
              <w:tc>
                <w:tcPr>
                  <w:tcW w:w="1960"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T/a</w:t>
                  </w:r>
                </w:p>
              </w:tc>
              <w:tc>
                <w:tcPr>
                  <w:tcW w:w="1960"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1152</w:t>
                  </w:r>
                </w:p>
              </w:tc>
              <w:tc>
                <w:tcPr>
                  <w:tcW w:w="1961"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外购</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color w:val="auto"/>
                <w:sz w:val="24"/>
                <w:szCs w:val="24"/>
                <w:lang w:val="en-US" w:eastAsia="zh-CN"/>
              </w:rPr>
              <w:t>洗衣液：</w:t>
            </w:r>
            <w:r>
              <w:rPr>
                <w:rFonts w:hint="default" w:ascii="Times New Roman" w:hAnsi="Times New Roman" w:eastAsia="宋体" w:cs="Times New Roman"/>
                <w:color w:val="auto"/>
                <w:sz w:val="24"/>
                <w:szCs w:val="24"/>
                <w:lang w:val="en-US" w:eastAsia="zh-CN"/>
              </w:rPr>
              <w:t>主要成分为非离子表面活性剂、助剂、硅酸盐、元明粉、荧光剂、酶等，洗涤过程添加洗衣液后将产生大量的表面活性剂，悬浮颗粒，使水体COD、LAS、SS含量增高。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乳化剂：乳化剂是乳浊液的稳定剂，是一类表面活性剂。乳化剂的作用是：但它分散在分散质的表面时，形成薄膜或双电层，可使分散相带有电荷，这样就能阻止分散相的小液滴互相凝结，使形成的乳浊液比较稳定。例如肥皂属于负离子乳化剂，能溶于水，有洗涤去污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彩漂粉：彩漂粉是释氧型漂白剂，溶于水后能生成过氧化氢，是氧漂的一种，它对织物的漂白较温和，一般不会损伤织物，可令白色或有色织物漂白后色泽更亮丽。常用的含氧漂白剂主要是双氧水和彩漂粉，有较好的漂白作用和杀菌作用。氧漂是通过在水溶液中经过羟离子游离出活性氧而产生漂白作用，在常温下，它的漂白速度比较缓慢，为了提高洗涤速率，一般在高温条件下进行漂白，既提高了漂白速度，也增加了织物的去污力和白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柔顺剂：柔顺粉为阴离子型悬浮液，活性物含量高，用量少，对各种织物柔软效果特别好，并有防静电功能，适用于毛巾、浴巾、牛仔服等的柔顺处理。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中和酸：主要成分为酸式钠盐和荧光成分，无毒性，能中和布草中残余的碱，有效除去布草漂洗过程中的气味和吸附在布草上的沉积物等，调整织物pH值，防止织物发黄发灰，有利于改善上浆和柔软效果，使布草更洁白、鲜艳、耐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lang w:val="en-US" w:eastAsia="zh-CN"/>
              </w:rPr>
            </w:pPr>
            <w:r>
              <w:rPr>
                <w:rFonts w:hint="default" w:ascii="Times New Roman" w:hAnsi="Times New Roman" w:eastAsia="宋体" w:cs="Times New Roman"/>
                <w:color w:val="auto"/>
                <w:sz w:val="24"/>
                <w:szCs w:val="24"/>
                <w:lang w:val="en-US" w:eastAsia="zh-CN"/>
              </w:rPr>
              <w:t>生物质燃料：</w:t>
            </w:r>
            <w:r>
              <w:rPr>
                <w:rFonts w:hint="eastAsia" w:ascii="Times New Roman" w:hAnsi="Times New Roman" w:eastAsia="宋体" w:cs="Times New Roman"/>
                <w:color w:val="auto"/>
                <w:sz w:val="24"/>
                <w:szCs w:val="24"/>
                <w:lang w:val="en-US" w:eastAsia="zh-CN"/>
              </w:rPr>
              <w:t>生物质由大理东森能源科技有限公司采购，</w:t>
            </w:r>
            <w:r>
              <w:rPr>
                <w:rFonts w:hint="default" w:ascii="Times New Roman" w:hAnsi="Times New Roman" w:eastAsia="宋体" w:cs="Times New Roman"/>
                <w:color w:val="auto"/>
                <w:sz w:val="24"/>
                <w:szCs w:val="24"/>
                <w:lang w:val="en-US" w:eastAsia="zh-CN"/>
              </w:rPr>
              <w:t>生物质燃料成分表见下表；</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表2-5  生物质燃料成分表</w:t>
            </w:r>
          </w:p>
          <w:tbl>
            <w:tblPr>
              <w:tblStyle w:val="7"/>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9"/>
              <w:gridCol w:w="3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19"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项目</w:t>
                  </w:r>
                </w:p>
              </w:tc>
              <w:tc>
                <w:tcPr>
                  <w:tcW w:w="3921"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19"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全水分</w:t>
                  </w:r>
                </w:p>
              </w:tc>
              <w:tc>
                <w:tcPr>
                  <w:tcW w:w="3921"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6.9</w:t>
                  </w:r>
                  <w:r>
                    <w:rPr>
                      <w:rFonts w:hint="default"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19" w:type="dxa"/>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空气干燥基灰分</w:t>
                  </w:r>
                </w:p>
              </w:tc>
              <w:tc>
                <w:tcPr>
                  <w:tcW w:w="3921"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19"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干燥基全硫</w:t>
                  </w:r>
                </w:p>
              </w:tc>
              <w:tc>
                <w:tcPr>
                  <w:tcW w:w="3921"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r>
                    <w:rPr>
                      <w:rFonts w:hint="eastAsia" w:ascii="Times New Roman" w:hAnsi="Times New Roman" w:eastAsia="宋体" w:cs="Times New Roman"/>
                      <w:color w:val="auto"/>
                      <w:sz w:val="21"/>
                      <w:szCs w:val="21"/>
                      <w:lang w:val="en-US" w:eastAsia="zh-CN"/>
                    </w:rPr>
                    <w:t>05</w:t>
                  </w:r>
                  <w:r>
                    <w:rPr>
                      <w:rFonts w:hint="default"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19"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收到基恒容低位发热量</w:t>
                  </w:r>
                </w:p>
              </w:tc>
              <w:tc>
                <w:tcPr>
                  <w:tcW w:w="3921"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4150</w:t>
                  </w:r>
                  <w:r>
                    <w:rPr>
                      <w:rFonts w:hint="default" w:ascii="Times New Roman" w:hAnsi="Times New Roman" w:eastAsia="宋体" w:cs="Times New Roman"/>
                      <w:color w:val="auto"/>
                      <w:sz w:val="21"/>
                      <w:szCs w:val="21"/>
                      <w:lang w:val="en-US" w:eastAsia="zh-CN"/>
                    </w:rPr>
                    <w:t>MJ/kg</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6、</w:t>
            </w:r>
            <w:r>
              <w:rPr>
                <w:rFonts w:hint="default" w:ascii="Times New Roman" w:hAnsi="Times New Roman" w:eastAsia="宋体" w:cs="Times New Roman"/>
                <w:color w:val="auto"/>
                <w:sz w:val="24"/>
                <w:szCs w:val="24"/>
                <w:lang w:val="en-US" w:eastAsia="zh-CN"/>
              </w:rPr>
              <w:t>主要设备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color w:val="auto"/>
                <w:sz w:val="24"/>
                <w:szCs w:val="24"/>
                <w:lang w:val="en-US" w:eastAsia="zh-CN"/>
              </w:rPr>
              <w:t>项目主要设备见下表；</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表2-6  项目主要设备清单一览表</w:t>
            </w:r>
          </w:p>
          <w:tbl>
            <w:tblPr>
              <w:tblStyle w:val="7"/>
              <w:tblW w:w="7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2429"/>
              <w:gridCol w:w="1989"/>
              <w:gridCol w:w="684"/>
              <w:gridCol w:w="772"/>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1"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序号</w:t>
                  </w:r>
                </w:p>
              </w:tc>
              <w:tc>
                <w:tcPr>
                  <w:tcW w:w="2429"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设备名称</w:t>
                  </w:r>
                </w:p>
              </w:tc>
              <w:tc>
                <w:tcPr>
                  <w:tcW w:w="1989"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品牌/型号</w:t>
                  </w:r>
                </w:p>
              </w:tc>
              <w:tc>
                <w:tcPr>
                  <w:tcW w:w="684"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单位</w:t>
                  </w:r>
                </w:p>
              </w:tc>
              <w:tc>
                <w:tcPr>
                  <w:tcW w:w="772"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数量</w:t>
                  </w:r>
                </w:p>
              </w:tc>
              <w:tc>
                <w:tcPr>
                  <w:tcW w:w="1374"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1"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2429"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变频全自动工业洗脱机</w:t>
                  </w:r>
                </w:p>
              </w:tc>
              <w:tc>
                <w:tcPr>
                  <w:tcW w:w="1989"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XGQ-100F（100kg）</w:t>
                  </w:r>
                </w:p>
              </w:tc>
              <w:tc>
                <w:tcPr>
                  <w:tcW w:w="684"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台</w:t>
                  </w:r>
                </w:p>
              </w:tc>
              <w:tc>
                <w:tcPr>
                  <w:tcW w:w="772"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1374" w:type="dxa"/>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1"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2429" w:type="dxa"/>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全自动工业烘干机</w:t>
                  </w:r>
                </w:p>
              </w:tc>
              <w:tc>
                <w:tcPr>
                  <w:tcW w:w="1989"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HG-100（100kg）</w:t>
                  </w:r>
                </w:p>
              </w:tc>
              <w:tc>
                <w:tcPr>
                  <w:tcW w:w="684" w:type="dxa"/>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台</w:t>
                  </w:r>
                </w:p>
              </w:tc>
              <w:tc>
                <w:tcPr>
                  <w:tcW w:w="772"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1374" w:type="dxa"/>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1"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2429"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3.3米四辊烫平机</w:t>
                  </w:r>
                </w:p>
              </w:tc>
              <w:tc>
                <w:tcPr>
                  <w:tcW w:w="1989"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YZ-3300V</w:t>
                  </w:r>
                </w:p>
              </w:tc>
              <w:tc>
                <w:tcPr>
                  <w:tcW w:w="684" w:type="dxa"/>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台</w:t>
                  </w:r>
                </w:p>
              </w:tc>
              <w:tc>
                <w:tcPr>
                  <w:tcW w:w="772"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374" w:type="dxa"/>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1"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2429"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3.3米五辊烫平机</w:t>
                  </w:r>
                </w:p>
              </w:tc>
              <w:tc>
                <w:tcPr>
                  <w:tcW w:w="1989"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684" w:type="dxa"/>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台</w:t>
                  </w:r>
                </w:p>
              </w:tc>
              <w:tc>
                <w:tcPr>
                  <w:tcW w:w="772"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374" w:type="dxa"/>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1"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2429"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3.3米全自动折叠机</w:t>
                  </w:r>
                </w:p>
              </w:tc>
              <w:tc>
                <w:tcPr>
                  <w:tcW w:w="1989"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DZ-3300V</w:t>
                  </w:r>
                </w:p>
              </w:tc>
              <w:tc>
                <w:tcPr>
                  <w:tcW w:w="684" w:type="dxa"/>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台</w:t>
                  </w:r>
                </w:p>
              </w:tc>
              <w:tc>
                <w:tcPr>
                  <w:tcW w:w="772"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374" w:type="dxa"/>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1"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w:t>
                  </w:r>
                </w:p>
              </w:tc>
              <w:tc>
                <w:tcPr>
                  <w:tcW w:w="2429"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水净化设备</w:t>
                  </w:r>
                </w:p>
              </w:tc>
              <w:tc>
                <w:tcPr>
                  <w:tcW w:w="1989"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684"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套</w:t>
                  </w:r>
                </w:p>
              </w:tc>
              <w:tc>
                <w:tcPr>
                  <w:tcW w:w="772"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0000FF"/>
                      <w:sz w:val="21"/>
                      <w:szCs w:val="21"/>
                      <w:lang w:val="en-US" w:eastAsia="zh-CN"/>
                    </w:rPr>
                    <w:t>3</w:t>
                  </w:r>
                </w:p>
              </w:tc>
              <w:tc>
                <w:tcPr>
                  <w:tcW w:w="1374"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1"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w:t>
                  </w:r>
                </w:p>
              </w:tc>
              <w:tc>
                <w:tcPr>
                  <w:tcW w:w="2429"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生物质锅炉</w:t>
                  </w:r>
                </w:p>
              </w:tc>
              <w:tc>
                <w:tcPr>
                  <w:tcW w:w="1989"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2.5</w:t>
                  </w:r>
                  <w:r>
                    <w:rPr>
                      <w:rFonts w:hint="default" w:ascii="Times New Roman" w:hAnsi="Times New Roman" w:eastAsia="宋体" w:cs="Times New Roman"/>
                      <w:color w:val="auto"/>
                      <w:sz w:val="21"/>
                      <w:szCs w:val="21"/>
                      <w:lang w:val="en-US" w:eastAsia="zh-CN"/>
                    </w:rPr>
                    <w:t>t/h</w:t>
                  </w:r>
                </w:p>
              </w:tc>
              <w:tc>
                <w:tcPr>
                  <w:tcW w:w="684"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套</w:t>
                  </w:r>
                </w:p>
              </w:tc>
              <w:tc>
                <w:tcPr>
                  <w:tcW w:w="772"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1374" w:type="dxa"/>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1套已建，1套新增（一备一用）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7、</w:t>
            </w:r>
            <w:r>
              <w:rPr>
                <w:rFonts w:hint="default" w:ascii="Times New Roman" w:hAnsi="Times New Roman" w:eastAsia="宋体" w:cs="Times New Roman"/>
                <w:color w:val="auto"/>
                <w:sz w:val="24"/>
                <w:szCs w:val="24"/>
                <w:lang w:val="en-US" w:eastAsia="zh-CN"/>
              </w:rPr>
              <w:t>水量平衡</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生活用水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项目运营期员工有</w:t>
            </w:r>
            <w:r>
              <w:rPr>
                <w:rFonts w:hint="eastAsia" w:ascii="Times New Roman" w:hAnsi="Times New Roman" w:eastAsia="宋体"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人，</w:t>
            </w:r>
            <w:r>
              <w:rPr>
                <w:rFonts w:hint="eastAsia" w:ascii="Times New Roman" w:hAnsi="Times New Roman" w:eastAsia="宋体" w:cs="Times New Roman"/>
                <w:color w:val="auto"/>
                <w:sz w:val="24"/>
                <w:szCs w:val="24"/>
                <w:lang w:val="en-US" w:eastAsia="zh-CN"/>
              </w:rPr>
              <w:t>项目职工均为周边务工人员，不在项目区食宿，只有值班人员在项目区食宿，</w:t>
            </w:r>
            <w:r>
              <w:rPr>
                <w:rFonts w:hint="default" w:ascii="Times New Roman" w:hAnsi="Times New Roman" w:eastAsia="宋体" w:cs="Times New Roman"/>
                <w:color w:val="auto"/>
                <w:sz w:val="24"/>
                <w:szCs w:val="24"/>
                <w:lang w:val="en-US" w:eastAsia="zh-CN"/>
              </w:rPr>
              <w:t>项目</w:t>
            </w:r>
            <w:r>
              <w:rPr>
                <w:rFonts w:hint="eastAsia" w:ascii="Times New Roman" w:hAnsi="Times New Roman" w:eastAsia="宋体" w:cs="Times New Roman"/>
                <w:color w:val="auto"/>
                <w:sz w:val="24"/>
                <w:szCs w:val="24"/>
                <w:lang w:val="en-US" w:eastAsia="zh-CN"/>
              </w:rPr>
              <w:t>值班人员约2人</w:t>
            </w:r>
            <w:r>
              <w:rPr>
                <w:rFonts w:hint="default" w:ascii="Times New Roman" w:hAnsi="Times New Roman" w:eastAsia="宋体" w:cs="Times New Roman"/>
                <w:color w:val="auto"/>
                <w:sz w:val="24"/>
                <w:szCs w:val="24"/>
                <w:lang w:val="en-US" w:eastAsia="zh-CN"/>
              </w:rPr>
              <w:t>。项目年工作3</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0天，根据《云南省地方标准用水定额》（DB53/T168-2019），项目不</w:t>
            </w:r>
            <w:r>
              <w:rPr>
                <w:rFonts w:hint="eastAsia" w:ascii="Times New Roman" w:hAnsi="Times New Roman" w:eastAsia="宋体" w:cs="Times New Roman"/>
                <w:color w:val="auto"/>
                <w:sz w:val="24"/>
                <w:szCs w:val="24"/>
                <w:lang w:val="en-US" w:eastAsia="zh-CN"/>
              </w:rPr>
              <w:t>食</w:t>
            </w:r>
            <w:r>
              <w:rPr>
                <w:rFonts w:hint="default" w:ascii="Times New Roman" w:hAnsi="Times New Roman" w:eastAsia="宋体" w:cs="Times New Roman"/>
                <w:color w:val="auto"/>
                <w:sz w:val="24"/>
                <w:szCs w:val="24"/>
                <w:lang w:val="en-US" w:eastAsia="zh-CN"/>
              </w:rPr>
              <w:t>宿员工用水定额按</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0L/人*d计，则此部分用水量为</w:t>
            </w:r>
            <w:r>
              <w:rPr>
                <w:rFonts w:hint="eastAsia" w:ascii="Times New Roman" w:hAnsi="Times New Roman" w:eastAsia="宋体" w:cs="Times New Roman"/>
                <w:color w:val="auto"/>
                <w:sz w:val="24"/>
                <w:szCs w:val="24"/>
                <w:lang w:val="en-US" w:eastAsia="zh-CN"/>
              </w:rPr>
              <w:t>0.78</w:t>
            </w:r>
            <w:r>
              <w:rPr>
                <w:rFonts w:hint="default" w:ascii="Times New Roman" w:hAnsi="Times New Roman" w:eastAsia="宋体" w:cs="Times New Roman"/>
                <w:color w:val="auto"/>
                <w:sz w:val="24"/>
                <w:szCs w:val="24"/>
                <w:lang w:val="en-US" w:eastAsia="zh-CN"/>
              </w:rPr>
              <w:t>m³/d，</w:t>
            </w:r>
            <w:r>
              <w:rPr>
                <w:rFonts w:hint="eastAsia" w:ascii="Times New Roman" w:hAnsi="Times New Roman" w:eastAsia="宋体" w:cs="Times New Roman"/>
                <w:color w:val="auto"/>
                <w:sz w:val="24"/>
                <w:szCs w:val="24"/>
                <w:lang w:val="en-US" w:eastAsia="zh-CN"/>
              </w:rPr>
              <w:t>280.8</w:t>
            </w:r>
            <w:r>
              <w:rPr>
                <w:rFonts w:hint="default" w:ascii="Times New Roman" w:hAnsi="Times New Roman" w:eastAsia="宋体" w:cs="Times New Roman"/>
                <w:color w:val="auto"/>
                <w:sz w:val="24"/>
                <w:szCs w:val="24"/>
                <w:lang w:val="en-US" w:eastAsia="zh-CN"/>
              </w:rPr>
              <w:t>m³/a，</w:t>
            </w:r>
            <w:r>
              <w:rPr>
                <w:rFonts w:hint="eastAsia" w:ascii="Times New Roman" w:hAnsi="Times New Roman" w:eastAsia="宋体" w:cs="Times New Roman"/>
                <w:color w:val="auto"/>
                <w:sz w:val="24"/>
                <w:szCs w:val="24"/>
                <w:lang w:val="en-US" w:eastAsia="zh-CN"/>
              </w:rPr>
              <w:t>值班</w:t>
            </w:r>
            <w:r>
              <w:rPr>
                <w:rFonts w:hint="default" w:ascii="Times New Roman" w:hAnsi="Times New Roman" w:eastAsia="宋体" w:cs="Times New Roman"/>
                <w:color w:val="auto"/>
                <w:sz w:val="24"/>
                <w:szCs w:val="24"/>
                <w:lang w:val="en-US" w:eastAsia="zh-CN"/>
              </w:rPr>
              <w:t>员工用水定额按</w:t>
            </w:r>
            <w:r>
              <w:rPr>
                <w:rFonts w:hint="eastAsia" w:ascii="Times New Roman" w:hAnsi="Times New Roman" w:eastAsia="宋体" w:cs="Times New Roman"/>
                <w:color w:val="auto"/>
                <w:sz w:val="24"/>
                <w:szCs w:val="24"/>
                <w:lang w:val="en-US" w:eastAsia="zh-CN"/>
              </w:rPr>
              <w:t>100</w:t>
            </w:r>
            <w:r>
              <w:rPr>
                <w:rFonts w:hint="default" w:ascii="Times New Roman" w:hAnsi="Times New Roman" w:eastAsia="宋体" w:cs="Times New Roman"/>
                <w:color w:val="auto"/>
                <w:sz w:val="24"/>
                <w:szCs w:val="24"/>
                <w:lang w:val="en-US" w:eastAsia="zh-CN"/>
              </w:rPr>
              <w:t>L/人*d计，则此部分用水量为</w:t>
            </w:r>
            <w:r>
              <w:rPr>
                <w:rFonts w:hint="eastAsia" w:ascii="Times New Roman" w:hAnsi="Times New Roman" w:eastAsia="宋体" w:cs="Times New Roman"/>
                <w:color w:val="auto"/>
                <w:sz w:val="24"/>
                <w:szCs w:val="24"/>
                <w:lang w:val="en-US" w:eastAsia="zh-CN"/>
              </w:rPr>
              <w:t>0.2</w:t>
            </w:r>
            <w:r>
              <w:rPr>
                <w:rFonts w:hint="default" w:ascii="Times New Roman" w:hAnsi="Times New Roman" w:eastAsia="宋体" w:cs="Times New Roman"/>
                <w:color w:val="auto"/>
                <w:sz w:val="24"/>
                <w:szCs w:val="24"/>
                <w:lang w:val="en-US" w:eastAsia="zh-CN"/>
              </w:rPr>
              <w:t>m³/d，</w:t>
            </w:r>
            <w:r>
              <w:rPr>
                <w:rFonts w:hint="eastAsia" w:ascii="Times New Roman" w:hAnsi="Times New Roman" w:eastAsia="宋体" w:cs="Times New Roman"/>
                <w:color w:val="auto"/>
                <w:sz w:val="24"/>
                <w:szCs w:val="24"/>
                <w:lang w:val="en-US" w:eastAsia="zh-CN"/>
              </w:rPr>
              <w:t>72</w:t>
            </w:r>
            <w:r>
              <w:rPr>
                <w:rFonts w:hint="default" w:ascii="Times New Roman" w:hAnsi="Times New Roman" w:eastAsia="宋体" w:cs="Times New Roman"/>
                <w:color w:val="auto"/>
                <w:sz w:val="24"/>
                <w:szCs w:val="24"/>
                <w:lang w:val="en-US" w:eastAsia="zh-CN"/>
              </w:rPr>
              <w:t>m³/a，总用水量为</w:t>
            </w:r>
            <w:r>
              <w:rPr>
                <w:rFonts w:hint="eastAsia" w:ascii="Times New Roman" w:hAnsi="Times New Roman" w:eastAsia="宋体" w:cs="Times New Roman"/>
                <w:color w:val="auto"/>
                <w:sz w:val="24"/>
                <w:szCs w:val="24"/>
                <w:lang w:val="en-US" w:eastAsia="zh-CN"/>
              </w:rPr>
              <w:t>0.98</w:t>
            </w:r>
            <w:r>
              <w:rPr>
                <w:rFonts w:hint="default" w:ascii="Times New Roman" w:hAnsi="Times New Roman" w:eastAsia="宋体" w:cs="Times New Roman"/>
                <w:color w:val="auto"/>
                <w:sz w:val="24"/>
                <w:szCs w:val="24"/>
                <w:lang w:val="en-US" w:eastAsia="zh-CN"/>
              </w:rPr>
              <w:t>m³/d，</w:t>
            </w:r>
            <w:r>
              <w:rPr>
                <w:rFonts w:hint="eastAsia" w:ascii="Times New Roman" w:hAnsi="Times New Roman" w:eastAsia="宋体" w:cs="Times New Roman"/>
                <w:color w:val="auto"/>
                <w:sz w:val="24"/>
                <w:szCs w:val="24"/>
                <w:lang w:val="en-US" w:eastAsia="zh-CN"/>
              </w:rPr>
              <w:t>352.8</w:t>
            </w:r>
            <w:r>
              <w:rPr>
                <w:rFonts w:hint="default" w:ascii="Times New Roman" w:hAnsi="Times New Roman" w:eastAsia="宋体" w:cs="Times New Roman"/>
                <w:color w:val="auto"/>
                <w:sz w:val="24"/>
                <w:szCs w:val="24"/>
                <w:lang w:val="en-US" w:eastAsia="zh-CN"/>
              </w:rPr>
              <w:t>m³/a；以80%产污系数计，则污水的产生量为</w:t>
            </w:r>
            <w:r>
              <w:rPr>
                <w:rFonts w:hint="eastAsia" w:ascii="Times New Roman" w:hAnsi="Times New Roman" w:eastAsia="宋体" w:cs="Times New Roman"/>
                <w:color w:val="auto"/>
                <w:sz w:val="24"/>
                <w:szCs w:val="24"/>
                <w:lang w:val="en-US" w:eastAsia="zh-CN"/>
              </w:rPr>
              <w:t>0.784</w:t>
            </w:r>
            <w:r>
              <w:rPr>
                <w:rFonts w:hint="default" w:ascii="Times New Roman" w:hAnsi="Times New Roman" w:eastAsia="宋体" w:cs="Times New Roman"/>
                <w:color w:val="auto"/>
                <w:sz w:val="24"/>
                <w:szCs w:val="24"/>
                <w:lang w:val="en-US" w:eastAsia="zh-CN"/>
              </w:rPr>
              <w:t>m³/d，</w:t>
            </w:r>
            <w:r>
              <w:rPr>
                <w:rFonts w:hint="eastAsia" w:ascii="Times New Roman" w:hAnsi="Times New Roman" w:eastAsia="宋体" w:cs="Times New Roman"/>
                <w:color w:val="auto"/>
                <w:sz w:val="24"/>
                <w:szCs w:val="24"/>
                <w:lang w:val="en-US" w:eastAsia="zh-CN"/>
              </w:rPr>
              <w:t>282.24</w:t>
            </w:r>
            <w:r>
              <w:rPr>
                <w:rFonts w:hint="default" w:ascii="Times New Roman" w:hAnsi="Times New Roman" w:eastAsia="宋体" w:cs="Times New Roman"/>
                <w:color w:val="auto"/>
                <w:sz w:val="24"/>
                <w:szCs w:val="24"/>
                <w:lang w:val="en-US" w:eastAsia="zh-CN"/>
              </w:rPr>
              <w:t>m³/a。</w:t>
            </w:r>
            <w:r>
              <w:rPr>
                <w:rFonts w:hint="eastAsia" w:ascii="Times New Roman" w:hAnsi="Times New Roman" w:eastAsia="宋体" w:cs="Times New Roman"/>
                <w:color w:val="auto"/>
                <w:sz w:val="24"/>
                <w:szCs w:val="24"/>
                <w:lang w:val="en-US" w:eastAsia="zh-CN"/>
              </w:rPr>
              <w:t>项目区生活污水经生活区化粪池处理达标后</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排入市政污水管网，最终进入牛街乡污水处理厂</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生产用水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项目运营期生产用水主要是洗涤用水、锅炉用水、</w:t>
            </w:r>
            <w:r>
              <w:rPr>
                <w:rFonts w:hint="eastAsia" w:ascii="Times New Roman" w:hAnsi="Times New Roman" w:eastAsia="宋体" w:cs="Times New Roman"/>
                <w:color w:val="auto"/>
                <w:sz w:val="24"/>
                <w:szCs w:val="24"/>
                <w:lang w:val="en-US" w:eastAsia="zh-CN"/>
              </w:rPr>
              <w:t>水膜除尘用水、</w:t>
            </w:r>
            <w:r>
              <w:rPr>
                <w:rFonts w:hint="default" w:ascii="Times New Roman" w:hAnsi="Times New Roman" w:eastAsia="宋体" w:cs="Times New Roman"/>
                <w:color w:val="auto"/>
                <w:sz w:val="24"/>
                <w:szCs w:val="24"/>
                <w:lang w:val="en-US" w:eastAsia="zh-CN"/>
              </w:rPr>
              <w:t>软水制备。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1）</w:t>
            </w:r>
            <w:r>
              <w:rPr>
                <w:rFonts w:hint="default" w:ascii="Times New Roman" w:hAnsi="Times New Roman" w:eastAsia="宋体" w:cs="Times New Roman"/>
                <w:color w:val="auto"/>
                <w:sz w:val="24"/>
                <w:szCs w:val="24"/>
                <w:lang w:val="en-US" w:eastAsia="zh-CN"/>
              </w:rPr>
              <w:t>洗涤用水及废水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经向建设单位咨询了解运营经验，项目洗涤1500套/d布草时，洗涤用水量为52.2m³/d，18792m³/a；废水产生量按用水量的90%计算，项目废水产生量约为47m³/d，16920m³/a；若项目洗涤2500套/d布草时，洗涤用水量约为87m³/d，31320m³/a；废水产生量约为78.3m³/d，28188m³/a。</w:t>
            </w:r>
            <w:r>
              <w:rPr>
                <w:rFonts w:hint="default" w:ascii="Times New Roman" w:hAnsi="Times New Roman" w:eastAsia="宋体" w:cs="Times New Roman"/>
                <w:color w:val="auto"/>
                <w:sz w:val="24"/>
                <w:szCs w:val="24"/>
                <w:lang w:val="en-US" w:eastAsia="zh-CN"/>
              </w:rPr>
              <w:t>洗涤用水</w:t>
            </w:r>
            <w:r>
              <w:rPr>
                <w:rFonts w:hint="eastAsia" w:ascii="Times New Roman" w:hAnsi="Times New Roman" w:eastAsia="宋体" w:cs="Times New Roman"/>
                <w:color w:val="auto"/>
                <w:sz w:val="24"/>
                <w:szCs w:val="24"/>
                <w:lang w:val="en-US" w:eastAsia="zh-CN"/>
              </w:rPr>
              <w:t>均由山箐水供给</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2）</w:t>
            </w:r>
            <w:r>
              <w:rPr>
                <w:rFonts w:hint="default" w:ascii="Times New Roman" w:hAnsi="Times New Roman" w:eastAsia="宋体" w:cs="Times New Roman"/>
                <w:color w:val="auto"/>
                <w:sz w:val="24"/>
                <w:szCs w:val="24"/>
                <w:lang w:val="en-US" w:eastAsia="zh-CN"/>
              </w:rPr>
              <w:t>锅炉</w:t>
            </w:r>
            <w:r>
              <w:rPr>
                <w:rFonts w:hint="eastAsia" w:ascii="Times New Roman" w:hAnsi="Times New Roman" w:eastAsia="宋体" w:cs="Times New Roman"/>
                <w:color w:val="auto"/>
                <w:sz w:val="24"/>
                <w:szCs w:val="24"/>
                <w:lang w:val="en-US" w:eastAsia="zh-CN"/>
              </w:rPr>
              <w:t>、软水制备</w:t>
            </w:r>
            <w:r>
              <w:rPr>
                <w:rFonts w:hint="default" w:ascii="Times New Roman" w:hAnsi="Times New Roman" w:eastAsia="宋体" w:cs="Times New Roman"/>
                <w:color w:val="auto"/>
                <w:sz w:val="24"/>
                <w:szCs w:val="24"/>
                <w:lang w:val="en-US" w:eastAsia="zh-CN"/>
              </w:rPr>
              <w:t>用水及废水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项目使用生物质锅炉，项目运营期锅炉数量为</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台，额定蒸发量为</w:t>
            </w:r>
            <w:r>
              <w:rPr>
                <w:rFonts w:hint="eastAsia" w:ascii="Times New Roman" w:hAnsi="Times New Roman" w:eastAsia="宋体" w:cs="Times New Roman"/>
                <w:color w:val="auto"/>
                <w:sz w:val="24"/>
                <w:szCs w:val="24"/>
                <w:lang w:val="en-US" w:eastAsia="zh-CN"/>
              </w:rPr>
              <w:t>2.5</w:t>
            </w:r>
            <w:r>
              <w:rPr>
                <w:rFonts w:hint="default" w:ascii="Times New Roman" w:hAnsi="Times New Roman" w:eastAsia="宋体" w:cs="Times New Roman"/>
                <w:color w:val="auto"/>
                <w:sz w:val="24"/>
                <w:szCs w:val="24"/>
                <w:lang w:val="en-US" w:eastAsia="zh-CN"/>
              </w:rPr>
              <w:t>t/h</w:t>
            </w:r>
            <w:r>
              <w:rPr>
                <w:rFonts w:hint="eastAsia" w:ascii="Times New Roman" w:hAnsi="Times New Roman" w:eastAsia="宋体" w:cs="Times New Roman"/>
                <w:color w:val="auto"/>
                <w:sz w:val="24"/>
                <w:szCs w:val="24"/>
                <w:lang w:val="en-US" w:eastAsia="zh-CN"/>
              </w:rPr>
              <w:t>，生物质锅炉为一备一用</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经咨询建设单位运营经验，每天洗涤2小时后，再开启锅炉进行烘干作业，锅炉每天运行8小时</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auto"/>
                <w:sz w:val="24"/>
                <w:szCs w:val="24"/>
                <w:lang w:val="en-US" w:eastAsia="zh-CN"/>
              </w:rPr>
              <w:t>由于原水不能直接进入锅炉，所以进入锅炉的水需先软化，本项目设置水净化处理</w:t>
            </w:r>
            <w:r>
              <w:rPr>
                <w:rFonts w:hint="eastAsia" w:ascii="Times New Roman" w:hAnsi="Times New Roman" w:eastAsia="宋体" w:cs="Times New Roman"/>
                <w:color w:val="auto"/>
                <w:sz w:val="24"/>
                <w:szCs w:val="24"/>
                <w:lang w:val="en-US" w:eastAsia="zh-CN"/>
              </w:rPr>
              <w:t>设施</w:t>
            </w:r>
            <w:r>
              <w:rPr>
                <w:rFonts w:hint="default" w:ascii="Times New Roman" w:hAnsi="Times New Roman" w:eastAsia="宋体" w:cs="Times New Roman"/>
                <w:color w:val="auto"/>
                <w:sz w:val="24"/>
                <w:szCs w:val="24"/>
                <w:lang w:val="en-US" w:eastAsia="zh-CN"/>
              </w:rPr>
              <w:t>，且锅炉配置纯水系统，</w:t>
            </w:r>
            <w:r>
              <w:rPr>
                <w:rFonts w:hint="eastAsia" w:ascii="Times New Roman" w:hAnsi="Times New Roman" w:eastAsia="宋体" w:cs="Times New Roman"/>
                <w:color w:val="auto"/>
                <w:sz w:val="24"/>
                <w:szCs w:val="24"/>
                <w:lang w:val="en-US" w:eastAsia="zh-CN"/>
              </w:rPr>
              <w:t>项目锅炉为2.5t/h两台（一备一用）。则锅炉用水量为2.5t/h，锅炉每日运行时间为8h，则用水量为20t/d，7200t/a。根据《排放源统计调查产排污核算方法和系数手册 》（2021年版）4430工业锅炉（热力生产和供应行业）</w:t>
            </w:r>
            <w:r>
              <w:rPr>
                <w:rFonts w:hint="default" w:ascii="Times New Roman" w:hAnsi="Times New Roman" w:eastAsia="宋体" w:cs="Times New Roman"/>
                <w:color w:val="auto"/>
                <w:sz w:val="24"/>
                <w:szCs w:val="24"/>
                <w:lang w:val="en-US" w:eastAsia="zh-CN"/>
              </w:rPr>
              <w:t>项目</w:t>
            </w:r>
            <w:r>
              <w:rPr>
                <w:rFonts w:hint="eastAsia" w:ascii="Times New Roman" w:hAnsi="Times New Roman" w:eastAsia="宋体" w:cs="Times New Roman"/>
                <w:color w:val="auto"/>
                <w:sz w:val="24"/>
                <w:szCs w:val="24"/>
                <w:lang w:val="en-US" w:eastAsia="zh-CN"/>
              </w:rPr>
              <w:t>软水制备排水及</w:t>
            </w:r>
            <w:r>
              <w:rPr>
                <w:rFonts w:hint="default" w:ascii="Times New Roman" w:hAnsi="Times New Roman" w:eastAsia="宋体" w:cs="Times New Roman"/>
                <w:color w:val="auto"/>
                <w:sz w:val="24"/>
                <w:szCs w:val="24"/>
                <w:lang w:val="en-US" w:eastAsia="zh-CN"/>
              </w:rPr>
              <w:t>锅炉</w:t>
            </w:r>
            <w:r>
              <w:rPr>
                <w:rFonts w:hint="eastAsia" w:ascii="Times New Roman" w:hAnsi="Times New Roman" w:eastAsia="宋体" w:cs="Times New Roman"/>
                <w:color w:val="auto"/>
                <w:sz w:val="24"/>
                <w:szCs w:val="24"/>
                <w:lang w:val="en-US" w:eastAsia="zh-CN"/>
              </w:rPr>
              <w:t>排污水</w:t>
            </w:r>
            <w:r>
              <w:rPr>
                <w:rFonts w:hint="default" w:ascii="Times New Roman" w:hAnsi="Times New Roman" w:eastAsia="宋体" w:cs="Times New Roman"/>
                <w:color w:val="auto"/>
                <w:sz w:val="24"/>
                <w:szCs w:val="24"/>
                <w:lang w:val="en-US" w:eastAsia="zh-CN"/>
              </w:rPr>
              <w:t>产生量为</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：0.356t/t-原料×</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1152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t/a=</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410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t/a</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3</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sz w:val="24"/>
                <w:szCs w:val="24"/>
                <w:lang w:val="en-US" w:eastAsia="zh-CN"/>
              </w:rPr>
              <w:t>除尘用水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项目锅炉采用水膜除尘，项目</w:t>
            </w:r>
            <w:r>
              <w:rPr>
                <w:rFonts w:hint="eastAsia" w:ascii="Times New Roman" w:hAnsi="Times New Roman" w:eastAsia="宋体" w:cs="Times New Roman"/>
                <w:color w:val="auto"/>
                <w:sz w:val="24"/>
                <w:szCs w:val="24"/>
                <w:lang w:val="en-US" w:eastAsia="zh-CN"/>
              </w:rPr>
              <w:t>每台</w:t>
            </w:r>
            <w:r>
              <w:rPr>
                <w:rFonts w:hint="default" w:ascii="Times New Roman" w:hAnsi="Times New Roman" w:eastAsia="宋体" w:cs="Times New Roman"/>
                <w:color w:val="auto"/>
                <w:sz w:val="24"/>
                <w:szCs w:val="24"/>
                <w:lang w:val="en-US" w:eastAsia="zh-CN"/>
              </w:rPr>
              <w:t>锅炉配置一台水膜除尘器，</w:t>
            </w:r>
            <w:r>
              <w:rPr>
                <w:rFonts w:hint="eastAsia" w:ascii="Times New Roman" w:hAnsi="Times New Roman" w:eastAsia="宋体" w:cs="Times New Roman"/>
                <w:color w:val="auto"/>
                <w:sz w:val="24"/>
                <w:szCs w:val="24"/>
                <w:lang w:val="en-US" w:eastAsia="zh-CN"/>
              </w:rPr>
              <w:t>但锅炉为一用一备，则</w:t>
            </w:r>
            <w:r>
              <w:rPr>
                <w:rFonts w:hint="default" w:ascii="Times New Roman" w:hAnsi="Times New Roman" w:eastAsia="宋体" w:cs="Times New Roman"/>
                <w:color w:val="auto"/>
                <w:sz w:val="24"/>
                <w:szCs w:val="24"/>
                <w:lang w:val="en-US" w:eastAsia="zh-CN"/>
              </w:rPr>
              <w:t>除尘器用水量为1t/d，耗水量按20%计算，以80%产污系数计，废水产生量0.8t/d，除尘器废水经沉淀池沉淀后循环用于水膜除尘。即水膜除尘器实际用水量为每天需要补充新鲜水量0.2t/d，</w:t>
            </w:r>
            <w:r>
              <w:rPr>
                <w:rFonts w:hint="eastAsia" w:ascii="Times New Roman" w:hAnsi="Times New Roman" w:eastAsia="宋体" w:cs="Times New Roman"/>
                <w:color w:val="auto"/>
                <w:sz w:val="24"/>
                <w:szCs w:val="24"/>
                <w:lang w:val="en-US" w:eastAsia="zh-CN"/>
              </w:rPr>
              <w:t>72</w:t>
            </w:r>
            <w:r>
              <w:rPr>
                <w:rFonts w:hint="default" w:ascii="Times New Roman" w:hAnsi="Times New Roman" w:eastAsia="宋体" w:cs="Times New Roman"/>
                <w:color w:val="auto"/>
                <w:sz w:val="24"/>
                <w:szCs w:val="24"/>
                <w:lang w:val="en-US" w:eastAsia="zh-CN"/>
              </w:rPr>
              <w:t>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（3）绿化用水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项目绿化面积为</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00m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，项目区内绿化用水量为</w:t>
            </w:r>
            <w:r>
              <w:rPr>
                <w:rFonts w:hint="eastAsia" w:ascii="Times New Roman" w:hAnsi="Times New Roman" w:eastAsia="宋体" w:cs="Times New Roman"/>
                <w:color w:val="auto"/>
                <w:sz w:val="24"/>
                <w:szCs w:val="24"/>
                <w:lang w:val="en-US" w:eastAsia="zh-CN"/>
              </w:rPr>
              <w:t>1.2</w:t>
            </w:r>
            <w:r>
              <w:rPr>
                <w:rFonts w:hint="default" w:ascii="Times New Roman" w:hAnsi="Times New Roman" w:eastAsia="宋体" w:cs="Times New Roman"/>
                <w:color w:val="auto"/>
                <w:sz w:val="24"/>
                <w:szCs w:val="24"/>
                <w:lang w:val="en-US" w:eastAsia="zh-CN"/>
              </w:rPr>
              <w:t>m³/d（旱季），</w:t>
            </w:r>
            <w:r>
              <w:rPr>
                <w:rFonts w:hint="eastAsia" w:ascii="Times New Roman" w:hAnsi="Times New Roman" w:eastAsia="宋体" w:cs="Times New Roman"/>
                <w:color w:val="auto"/>
                <w:sz w:val="24"/>
                <w:szCs w:val="24"/>
                <w:lang w:val="en-US" w:eastAsia="zh-CN"/>
              </w:rPr>
              <w:t>252</w:t>
            </w:r>
            <w:r>
              <w:rPr>
                <w:rFonts w:hint="default" w:ascii="Times New Roman" w:hAnsi="Times New Roman" w:eastAsia="宋体" w:cs="Times New Roman"/>
                <w:color w:val="auto"/>
                <w:sz w:val="24"/>
                <w:szCs w:val="24"/>
                <w:lang w:val="en-US" w:eastAsia="zh-CN"/>
              </w:rPr>
              <w:t>m³/a；绿化用水经植被吸收利用、蒸发消耗。</w:t>
            </w:r>
          </w:p>
          <w:p>
            <w:pPr>
              <w:bidi w:val="0"/>
              <w:jc w:val="center"/>
              <w:rPr>
                <w:color w:val="auto"/>
              </w:rPr>
            </w:pPr>
            <w:r>
              <w:rPr>
                <w:color w:val="auto"/>
                <w:sz w:val="21"/>
              </w:rPr>
              <mc:AlternateContent>
                <mc:Choice Requires="wpc">
                  <w:drawing>
                    <wp:inline distT="0" distB="0" distL="114300" distR="114300">
                      <wp:extent cx="4984750" cy="4079875"/>
                      <wp:effectExtent l="0" t="0" r="6350" b="0"/>
                      <wp:docPr id="61" name="画布 61"/>
                      <wp:cNvGraphicFramePr/>
                      <a:graphic xmlns:a="http://schemas.openxmlformats.org/drawingml/2006/main">
                        <a:graphicData uri="http://schemas.microsoft.com/office/word/2010/wordprocessingCanvas">
                          <wpc:wpc>
                            <wpc:bg/>
                            <wpc:whole/>
                            <wps:wsp>
                              <wps:cNvPr id="62" name="文本框 62"/>
                              <wps:cNvSpPr txBox="1"/>
                              <wps:spPr>
                                <a:xfrm>
                                  <a:off x="60960" y="1035685"/>
                                  <a:ext cx="346710" cy="6597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新鲜水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3" name="文本框 63"/>
                              <wps:cNvSpPr txBox="1"/>
                              <wps:spPr>
                                <a:xfrm>
                                  <a:off x="1227455" y="267970"/>
                                  <a:ext cx="805180" cy="276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生活用水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4" name="文本框 64"/>
                              <wps:cNvSpPr txBox="1"/>
                              <wps:spPr>
                                <a:xfrm>
                                  <a:off x="2649855" y="176530"/>
                                  <a:ext cx="648970" cy="4457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生活区化粪池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5" name="文本框 65"/>
                              <wps:cNvSpPr txBox="1"/>
                              <wps:spPr>
                                <a:xfrm>
                                  <a:off x="1202690" y="1899920"/>
                                  <a:ext cx="659765" cy="504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软水、锅炉用水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7" name="文本框 67"/>
                              <wps:cNvSpPr txBox="1"/>
                              <wps:spPr>
                                <a:xfrm>
                                  <a:off x="1343660" y="1236345"/>
                                  <a:ext cx="77025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洗涤用水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2" name="文本框 72"/>
                              <wps:cNvSpPr txBox="1"/>
                              <wps:spPr>
                                <a:xfrm>
                                  <a:off x="4171950" y="1110615"/>
                                  <a:ext cx="742950" cy="501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生产区化粪池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3" name="肘形连接符 73"/>
                              <wps:cNvCnPr>
                                <a:stCxn id="62" idx="3"/>
                                <a:endCxn id="63" idx="1"/>
                              </wps:cNvCnPr>
                              <wps:spPr>
                                <a:xfrm flipV="1">
                                  <a:off x="407670" y="406400"/>
                                  <a:ext cx="819785" cy="959485"/>
                                </a:xfrm>
                                <a:prstGeom prst="bentConnector3">
                                  <a:avLst>
                                    <a:gd name="adj1" fmla="val 29434"/>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76" name="直接箭头连接符 76"/>
                              <wps:cNvCnPr>
                                <a:stCxn id="63" idx="3"/>
                                <a:endCxn id="64" idx="1"/>
                              </wps:cNvCnPr>
                              <wps:spPr>
                                <a:xfrm flipV="1">
                                  <a:off x="2032635" y="399415"/>
                                  <a:ext cx="617220" cy="69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78" name="文本框 78"/>
                              <wps:cNvSpPr txBox="1"/>
                              <wps:spPr>
                                <a:xfrm>
                                  <a:off x="3881120" y="239395"/>
                                  <a:ext cx="1005205" cy="3206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市政污水管网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9" name="直接箭头连接符 79"/>
                              <wps:cNvCnPr>
                                <a:stCxn id="72" idx="0"/>
                              </wps:cNvCnPr>
                              <wps:spPr>
                                <a:xfrm flipH="1" flipV="1">
                                  <a:off x="4532630" y="553720"/>
                                  <a:ext cx="10795" cy="5568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92" name="文本框 92"/>
                              <wps:cNvSpPr txBox="1"/>
                              <wps:spPr>
                                <a:xfrm>
                                  <a:off x="695325" y="125095"/>
                                  <a:ext cx="431800" cy="244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132.3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3" name="肘形连接符 93"/>
                              <wps:cNvCnPr>
                                <a:stCxn id="63" idx="0"/>
                              </wps:cNvCnPr>
                              <wps:spPr>
                                <a:xfrm rot="16200000">
                                  <a:off x="1612900" y="125095"/>
                                  <a:ext cx="160020" cy="125730"/>
                                </a:xfrm>
                                <a:prstGeom prst="bentConnector3">
                                  <a:avLst>
                                    <a:gd name="adj1" fmla="val 49603"/>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94" name="文本框 94"/>
                              <wps:cNvSpPr txBox="1"/>
                              <wps:spPr>
                                <a:xfrm>
                                  <a:off x="1791335" y="3810"/>
                                  <a:ext cx="298450" cy="244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27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5" name="文本框 95"/>
                              <wps:cNvSpPr txBox="1"/>
                              <wps:spPr>
                                <a:xfrm>
                                  <a:off x="2110740" y="138430"/>
                                  <a:ext cx="447040" cy="2432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105.3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6" name="文本框 96"/>
                              <wps:cNvSpPr txBox="1"/>
                              <wps:spPr>
                                <a:xfrm>
                                  <a:off x="3322955" y="194945"/>
                                  <a:ext cx="430530" cy="2355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105.3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2" name="文本框 112"/>
                              <wps:cNvSpPr txBox="1"/>
                              <wps:spPr>
                                <a:xfrm>
                                  <a:off x="2646680" y="1102360"/>
                                  <a:ext cx="433705" cy="2432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28188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1" name="肘形连接符 121"/>
                              <wps:cNvCnPr>
                                <a:stCxn id="65" idx="3"/>
                                <a:endCxn id="72" idx="2"/>
                              </wps:cNvCnPr>
                              <wps:spPr>
                                <a:xfrm flipV="1">
                                  <a:off x="1862455" y="1612265"/>
                                  <a:ext cx="2680970" cy="540385"/>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5" name="肘形连接符 125"/>
                              <wps:cNvCnPr>
                                <a:stCxn id="67" idx="0"/>
                              </wps:cNvCnPr>
                              <wps:spPr>
                                <a:xfrm rot="16200000">
                                  <a:off x="1753870" y="1066800"/>
                                  <a:ext cx="144145" cy="194310"/>
                                </a:xfrm>
                                <a:prstGeom prst="bentConnector2">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82" name="肘形连接符 82"/>
                              <wps:cNvCnPr/>
                              <wps:spPr>
                                <a:prstGeom prst="bentConnector3">
                                  <a:avLst/>
                                </a:prstGeom>
                                <a:ln>
                                  <a:tailEnd type="arrow"/>
                                </a:ln>
                              </wps:spPr>
                              <wps:style>
                                <a:lnRef idx="2">
                                  <a:schemeClr val="accent1"/>
                                </a:lnRef>
                                <a:fillRef idx="0">
                                  <a:srgbClr val="FFFFFF"/>
                                </a:fillRef>
                                <a:effectRef idx="0">
                                  <a:srgbClr val="FFFFFF"/>
                                </a:effectRef>
                                <a:fontRef idx="minor">
                                  <a:schemeClr val="tx1"/>
                                </a:fontRef>
                              </wps:style>
                              <wps:bodyPr/>
                            </wps:wsp>
                            <wps:wsp>
                              <wps:cNvPr id="71" name="肘形连接符 71"/>
                              <wps:cNvCnPr>
                                <a:stCxn id="62" idx="3"/>
                                <a:endCxn id="65" idx="1"/>
                              </wps:cNvCnPr>
                              <wps:spPr>
                                <a:xfrm>
                                  <a:off x="407670" y="1365885"/>
                                  <a:ext cx="795020" cy="786765"/>
                                </a:xfrm>
                                <a:prstGeom prst="bentConnector3">
                                  <a:avLst>
                                    <a:gd name="adj1" fmla="val 30670"/>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80" name="直接箭头连接符 80"/>
                              <wps:cNvCnPr>
                                <a:stCxn id="62" idx="3"/>
                              </wps:cNvCnPr>
                              <wps:spPr>
                                <a:xfrm>
                                  <a:off x="407670" y="1365885"/>
                                  <a:ext cx="935990" cy="19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86" name="肘形连接符 86"/>
                              <wps:cNvCnPr>
                                <a:stCxn id="65" idx="0"/>
                              </wps:cNvCnPr>
                              <wps:spPr>
                                <a:xfrm rot="16200000">
                                  <a:off x="1550035" y="1741805"/>
                                  <a:ext cx="140970" cy="175260"/>
                                </a:xfrm>
                                <a:prstGeom prst="bentConnector2">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87" name="直接箭头连接符 87"/>
                              <wps:cNvCnPr>
                                <a:stCxn id="67" idx="3"/>
                                <a:endCxn id="72" idx="1"/>
                              </wps:cNvCnPr>
                              <wps:spPr>
                                <a:xfrm flipV="1">
                                  <a:off x="2113915" y="1361440"/>
                                  <a:ext cx="2058035" cy="1333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89" name="文本框 89"/>
                              <wps:cNvSpPr txBox="1"/>
                              <wps:spPr>
                                <a:xfrm>
                                  <a:off x="735965" y="1098550"/>
                                  <a:ext cx="449580"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31320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0" name="文本框 90"/>
                              <wps:cNvSpPr txBox="1"/>
                              <wps:spPr>
                                <a:xfrm>
                                  <a:off x="1919605" y="960120"/>
                                  <a:ext cx="408305" cy="238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3132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7" name="文本框 97"/>
                              <wps:cNvSpPr txBox="1"/>
                              <wps:spPr>
                                <a:xfrm>
                                  <a:off x="696595" y="1889760"/>
                                  <a:ext cx="441325" cy="238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7200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8" name="文本框 98"/>
                              <wps:cNvSpPr txBox="1"/>
                              <wps:spPr>
                                <a:xfrm>
                                  <a:off x="1700530" y="1627505"/>
                                  <a:ext cx="387350" cy="2387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6790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9" name="文本框 99"/>
                              <wps:cNvSpPr txBox="1"/>
                              <wps:spPr>
                                <a:xfrm>
                                  <a:off x="2631440" y="1884680"/>
                                  <a:ext cx="346710" cy="252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410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文本框 3"/>
                              <wps:cNvSpPr txBox="1"/>
                              <wps:spPr>
                                <a:xfrm>
                                  <a:off x="1174750" y="2910840"/>
                                  <a:ext cx="730885" cy="276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水膜除尘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肘形连接符 4"/>
                              <wps:cNvCnPr/>
                              <wps:spPr>
                                <a:xfrm>
                                  <a:off x="400050" y="1365885"/>
                                  <a:ext cx="767080" cy="1683385"/>
                                </a:xfrm>
                                <a:prstGeom prst="bentConnector3">
                                  <a:avLst>
                                    <a:gd name="adj1" fmla="val 32450"/>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7" name="文本框 7"/>
                              <wps:cNvSpPr txBox="1"/>
                              <wps:spPr>
                                <a:xfrm>
                                  <a:off x="2413000" y="2910205"/>
                                  <a:ext cx="76962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循环水池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直接箭头连接符 20"/>
                              <wps:cNvCnPr>
                                <a:stCxn id="3" idx="3"/>
                                <a:endCxn id="7" idx="1"/>
                              </wps:cNvCnPr>
                              <wps:spPr>
                                <a:xfrm>
                                  <a:off x="1905635" y="3049270"/>
                                  <a:ext cx="507365" cy="381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41" name="肘形连接符 41"/>
                              <wps:cNvCnPr/>
                              <wps:spPr>
                                <a:xfrm rot="5400000" flipH="1">
                                  <a:off x="2177415" y="2590165"/>
                                  <a:ext cx="6985" cy="1217295"/>
                                </a:xfrm>
                                <a:prstGeom prst="bentConnector3">
                                  <a:avLst>
                                    <a:gd name="adj1" fmla="val -340909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44" name="肘形连接符 44"/>
                              <wps:cNvCnPr/>
                              <wps:spPr>
                                <a:xfrm rot="16200000">
                                  <a:off x="1567180" y="2700655"/>
                                  <a:ext cx="176530" cy="197485"/>
                                </a:xfrm>
                                <a:prstGeom prst="bentConnector2">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60" name="文本框 60"/>
                              <wps:cNvSpPr txBox="1"/>
                              <wps:spPr>
                                <a:xfrm>
                                  <a:off x="1771650" y="2614930"/>
                                  <a:ext cx="318135" cy="2336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27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6" name="文本框 66"/>
                              <wps:cNvSpPr txBox="1"/>
                              <wps:spPr>
                                <a:xfrm>
                                  <a:off x="735330" y="2773045"/>
                                  <a:ext cx="318135" cy="2336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27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8" name="文本框 68"/>
                              <wps:cNvSpPr txBox="1"/>
                              <wps:spPr>
                                <a:xfrm>
                                  <a:off x="1973580" y="2791460"/>
                                  <a:ext cx="238760" cy="2336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9" name="文本框 69"/>
                              <wps:cNvSpPr txBox="1"/>
                              <wps:spPr>
                                <a:xfrm>
                                  <a:off x="2045335" y="3112135"/>
                                  <a:ext cx="357505" cy="2336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6" name="文本框 126"/>
                              <wps:cNvSpPr txBox="1"/>
                              <wps:spPr>
                                <a:xfrm>
                                  <a:off x="1817370" y="3648710"/>
                                  <a:ext cx="540385"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绿化</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4" name="文本框 174"/>
                              <wps:cNvSpPr txBox="1"/>
                              <wps:spPr>
                                <a:xfrm>
                                  <a:off x="2648585" y="3549650"/>
                                  <a:ext cx="34861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186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文本框 182"/>
                              <wps:cNvSpPr txBox="1"/>
                              <wps:spPr>
                                <a:xfrm>
                                  <a:off x="927735" y="3528060"/>
                                  <a:ext cx="34861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186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7" name="文本框 257"/>
                              <wps:cNvSpPr txBox="1"/>
                              <wps:spPr>
                                <a:xfrm>
                                  <a:off x="3973830" y="721995"/>
                                  <a:ext cx="532765" cy="254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48703.3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3" name="肘形连接符 263"/>
                              <wps:cNvCnPr>
                                <a:stCxn id="64" idx="3"/>
                                <a:endCxn id="78" idx="1"/>
                              </wps:cNvCnPr>
                              <wps:spPr>
                                <a:xfrm>
                                  <a:off x="3298825" y="399415"/>
                                  <a:ext cx="582295" cy="635"/>
                                </a:xfrm>
                                <a:prstGeom prst="bentConnector3">
                                  <a:avLst>
                                    <a:gd name="adj1" fmla="val 50055"/>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64" name="肘形连接符 264"/>
                              <wps:cNvCnPr>
                                <a:stCxn id="62" idx="3"/>
                                <a:endCxn id="126" idx="1"/>
                              </wps:cNvCnPr>
                              <wps:spPr>
                                <a:xfrm>
                                  <a:off x="407670" y="1365885"/>
                                  <a:ext cx="1409700" cy="2441575"/>
                                </a:xfrm>
                                <a:prstGeom prst="bentConnector3">
                                  <a:avLst>
                                    <a:gd name="adj1" fmla="val 17207"/>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265" name="肘形连接符 265"/>
                              <wps:cNvCnPr>
                                <a:stCxn id="126" idx="3"/>
                              </wps:cNvCnPr>
                              <wps:spPr>
                                <a:xfrm flipV="1">
                                  <a:off x="2357755" y="3721100"/>
                                  <a:ext cx="301625" cy="86360"/>
                                </a:xfrm>
                                <a:prstGeom prst="bentConnector3">
                                  <a:avLst>
                                    <a:gd name="adj1" fmla="val 50105"/>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c:wpc>
                        </a:graphicData>
                      </a:graphic>
                    </wp:inline>
                  </w:drawing>
                </mc:Choice>
                <mc:Fallback>
                  <w:pict>
                    <v:group id="_x0000_s1026" o:spid="_x0000_s1026" o:spt="203" style="height:321.25pt;width:392.5pt;" coordsize="4984750,4079875" editas="canvas" o:gfxdata="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">
                      <o:lock v:ext="edit" aspectratio="f"/>
                      <v:shape id="_x0000_s1026" o:spid="_x0000_s1026" style="position:absolute;left:0;top:0;height:4079875;width:4984750;" filled="f" stroked="f" coordsize="21600,21600" o:gfxdata="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">
                        <v:fill on="f" focussize="0,0"/>
                        <v:stroke on="f"/>
                        <v:imagedata o:title=""/>
                        <o:lock v:ext="edit" aspectratio="f"/>
                      </v:shape>
                      <v:shape id="_x0000_s1026" o:spid="_x0000_s1026" o:spt="202" type="#_x0000_t202" style="position:absolute;left:60960;top:1035685;height:659765;width:346710;" fillcolor="#FFFFFF [3201]" filled="t" stroked="t" coordsize="21600,21600" o:gfxdata="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f4GzHTAAAABQEAAA8AAAAAAAAAAQAgAAAA&#10;IgAAAGRycy9kb3ducmV2LnhtbFBLAQIUABQAAAAIAIdO4kBEnCHuSQIAAHQEAAAOAAAAAAAAAAEA&#10;IAAAACIBAABkcnMvZTJvRG9jLnhtbFBLBQYAAAAABgAGAFkBAADd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新鲜水</w:t>
                              </w:r>
                            </w:p>
                          </w:txbxContent>
                        </v:textbox>
                      </v:shape>
                      <v:shape id="_x0000_s1026" o:spid="_x0000_s1026" o:spt="202" type="#_x0000_t202" style="position:absolute;left:1227455;top:267970;height:276860;width:805180;" fillcolor="#FFFFFF [3201]" filled="t" stroked="t" coordsize="21600,21600" o:gfxdata="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J/gbMdMAAAAFAQAADwAAAAAAAAABACAAAAAi&#10;AAAAZHJzL2Rvd25yZXYueG1sUEsBAhQAFAAAAAgAh07iQN3Tn3FIAgAAdQQAAA4AAAAAAAAAAQAg&#10;AAAAIgEAAGRycy9lMm9Eb2MueG1sUEsFBgAAAAAGAAYAWQEAANw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生活用水</w:t>
                              </w:r>
                            </w:p>
                          </w:txbxContent>
                        </v:textbox>
                      </v:shape>
                      <v:shape id="_x0000_s1026" o:spid="_x0000_s1026" o:spt="202" type="#_x0000_t202" style="position:absolute;left:2649855;top:176530;height:445770;width:648970;" fillcolor="#FFFFFF [3201]" filled="t" stroked="t" coordsize="21600,21600" o:gfxdata="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f4GzHTAAAABQEAAA8AAAAAAAAAAQAgAAAAIgAA&#10;AGRycy9kb3ducmV2LnhtbFBLAQIUABQAAAAIAIdO4kCJzapERgIAAHUEAAAOAAAAAAAAAAEAIAAA&#10;ACIBAABkcnMvZTJvRG9jLnhtbFBLBQYAAAAABgAGAFkBAADa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生活区化粪池</w:t>
                              </w:r>
                            </w:p>
                          </w:txbxContent>
                        </v:textbox>
                      </v:shape>
                      <v:shape id="_x0000_s1026" o:spid="_x0000_s1026" o:spt="202" type="#_x0000_t202" style="position:absolute;left:1202690;top:1899920;height:504825;width:659765;" fillcolor="#FFFFFF [3201]" filled="t" stroked="t" coordsize="21600,21600" o:gfxdata="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f4GzHTAAAABQEAAA8AAAAAAAAAAQAgAAAA&#10;IgAAAGRycy9kb3ducmV2LnhtbFBLAQIUABQAAAAIAIdO4kDmNsd6SQIAAHYEAAAOAAAAAAAAAAEA&#10;IAAAACIBAABkcnMvZTJvRG9jLnhtbFBLBQYAAAAABgAGAFkBAADd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软水、锅炉用水</w:t>
                              </w:r>
                            </w:p>
                          </w:txbxContent>
                        </v:textbox>
                      </v:shape>
                      <v:shape id="_x0000_s1026" o:spid="_x0000_s1026" o:spt="202" type="#_x0000_t202" style="position:absolute;left:1343660;top:1236345;height:276225;width:770255;" fillcolor="#FFFFFF [3201]" filled="t" stroked="t" coordsize="21600,21600" o:gfxdata="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n+Bsx0wAAAAUBAAAPAAAAAAAAAAEAIAAA&#10;ACIAAABkcnMvZG93bnJldi54bWxQSwECFAAUAAAACACHTuJApYTSJEoCAAB2BAAADgAAAAAAAAAB&#10;ACAAAAAiAQAAZHJzL2Uyb0RvYy54bWxQSwUGAAAAAAYABgBZAQAA3g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洗涤用水</w:t>
                              </w:r>
                            </w:p>
                          </w:txbxContent>
                        </v:textbox>
                      </v:shape>
                      <v:shape id="_x0000_s1026" o:spid="_x0000_s1026" o:spt="202" type="#_x0000_t202" style="position:absolute;left:4171950;top:1110615;height:501650;width:742950;" fillcolor="#FFFFFF [3201]" filled="t" stroked="t" coordsize="21600,21600" o:gfxdata="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gbMdMAAAAFAQAADwAAAAAAAAABACAAAAAiAAAA&#10;ZHJzL2Rvd25yZXYueG1sUEsBAhQAFAAAAAgAh07iQJMkIctFAgAAdgQAAA4AAAAAAAAAAQAgAAAA&#10;IgEAAGRycy9lMm9Eb2MueG1sUEsFBgAAAAAGAAYAWQEAANk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生产区化粪池</w:t>
                              </w:r>
                            </w:p>
                          </w:txbxContent>
                        </v:textbox>
                      </v:shape>
                      <v:shape id="_x0000_s1026" o:spid="_x0000_s1026" o:spt="34" type="#_x0000_t34" style="position:absolute;left:407670;top:406400;flip:y;height:959485;width:819785;" filled="f" stroked="t" coordsize="21600,21600" o:gfxdata="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fXMpzVAAAABQEAAA8AAAAAAAAAAQAgAAAAIgAAAGRycy9kb3ducmV2Lnht&#10;bFBLAQIUABQAAAAIAIdO4kDtoHYZNQIAACIEAAAOAAAAAAAAAAEAIAAAACQBAABkcnMvZTJvRG9j&#10;LnhtbFBLBQYAAAAABgAGAFkBAADLBQAAAAA=&#10;" adj="6358">
                        <v:fill on="f" focussize="0,0"/>
                        <v:stroke weight="1pt" color="#000000 [3200]" miterlimit="8" joinstyle="miter" endarrow="open"/>
                        <v:imagedata o:title=""/>
                        <o:lock v:ext="edit" aspectratio="f"/>
                      </v:shape>
                      <v:shape id="_x0000_s1026" o:spid="_x0000_s1026" o:spt="32" type="#_x0000_t32" style="position:absolute;left:2032635;top:399415;flip:y;height:6985;width:617220;" filled="f" stroked="t" coordsize="21600,21600" o:gfxdata="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8Gc&#10;wNcAAAAFAQAADwAAAAAAAAABACAAAAAiAAAAZHJzL2Rvd25yZXYueG1sUEsBAhQAFAAAAAgAh07i&#10;QCUz0REjAgAA/gMAAA4AAAAAAAAAAQAgAAAAJgEAAGRycy9lMm9Eb2MueG1sUEsFBgAAAAAGAAYA&#10;WQEAALsFAAAAAA==&#10;">
                        <v:fill on="f" focussize="0,0"/>
                        <v:stroke weight="1pt" color="#000000 [3200]" miterlimit="8" joinstyle="miter" endarrow="open"/>
                        <v:imagedata o:title=""/>
                        <o:lock v:ext="edit" aspectratio="f"/>
                      </v:shape>
                      <v:shape id="_x0000_s1026" o:spid="_x0000_s1026" o:spt="202" type="#_x0000_t202" style="position:absolute;left:3881120;top:239395;height:320675;width:1005205;" fillcolor="#FFFFFF [3201]" filled="t" stroked="f" coordsize="21600,21600" o:gfxdata="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3YUeLRAAAABQEAAA8AAAAAAAAAAQAgAAAAIgAAAGRycy9k&#10;b3ducmV2LnhtbFBLAQIUABQAAAAIAIdO4kCimZZWQgIAAE4EAAAOAAAAAAAAAAEAIAAAACABAABk&#10;cnMvZTJvRG9jLnhtbFBLBQYAAAAABgAGAFkBAADUBQAAAAA=&#10;">
                        <v:fill on="t" focussize="0,0"/>
                        <v:stroke on="f" weight="0.5pt"/>
                        <v:imagedata o:title=""/>
                        <o:lock v:ext="edit" aspectratio="f"/>
                        <v:textbox>
                          <w:txbxContent>
                            <w:p>
                              <w:pPr>
                                <w:rPr>
                                  <w:rFonts w:hint="eastAsia" w:eastAsiaTheme="minorEastAsia"/>
                                  <w:lang w:eastAsia="zh-CN"/>
                                </w:rPr>
                              </w:pPr>
                              <w:r>
                                <w:rPr>
                                  <w:rFonts w:hint="eastAsia"/>
                                  <w:lang w:eastAsia="zh-CN"/>
                                </w:rPr>
                                <w:t>市政污水管网</w:t>
                              </w:r>
                            </w:p>
                          </w:txbxContent>
                        </v:textbox>
                      </v:shape>
                      <v:shape id="_x0000_s1026" o:spid="_x0000_s1026" o:spt="32" type="#_x0000_t32" style="position:absolute;left:4532630;top:553720;flip:x y;height:556895;width:10795;" filled="f" stroked="t" coordsize="21600,21600" o:gfxdata="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OQS+tYAAAAFAQAA&#10;DwAAAAAAAAABACAAAAAiAAAAZHJzL2Rvd25yZXYueG1sUEsBAhQAFAAAAAgAh07iQPkG4EAbAgAA&#10;7gMAAA4AAAAAAAAAAQAgAAAAJQEAAGRycy9lMm9Eb2MueG1sUEsFBgAAAAAGAAYAWQEAALIFAAAA&#10;AA==&#10;">
                        <v:fill on="f" focussize="0,0"/>
                        <v:stroke weight="1pt" color="#000000 [3200]" miterlimit="8" joinstyle="miter" endarrow="open"/>
                        <v:imagedata o:title=""/>
                        <o:lock v:ext="edit" aspectratio="f"/>
                      </v:shape>
                      <v:shape id="_x0000_s1026" o:spid="_x0000_s1026" o:spt="202" type="#_x0000_t202" style="position:absolute;left:695325;top:125095;height:244475;width:431800;" fillcolor="#FFFFFF [3201]" filled="t" stroked="f" coordsize="21600,21600" o:gfxdata="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d2FHi0QAAAAUBAAAPAAAAAAAAAAEAIAAAACIAAABkcnMvZG93&#10;bnJldi54bWxQSwECFAAUAAAACACHTuJACQ8ldUACAABMBAAADgAAAAAAAAABACAAAAAgAQAAZHJz&#10;L2Uyb0RvYy54bWxQSwUGAAAAAAYABgBZAQAA0gU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132.3</w:t>
                              </w:r>
                            </w:p>
                          </w:txbxContent>
                        </v:textbox>
                      </v:shape>
                      <v:shape id="_x0000_s1026" o:spid="_x0000_s1026" o:spt="34" type="#_x0000_t34" style="position:absolute;left:1612900;top:125095;height:125730;width:160020;rotation:-5898240f;" filled="f" stroked="t" coordsize="21600,21600" o:gfxdata="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2aSRUtYAAAAFAQAADwAAAAAAAAABACAAAAAiAAAAZHJzL2Rvd25yZXYueG1sUEsBAhQAFAAA&#10;AAgAh07iQFl7Z4oqAgAADAQAAA4AAAAAAAAAAQAgAAAAJQEAAGRycy9lMm9Eb2MueG1sUEsFBgAA&#10;AAAGAAYAWQEAAMEFAAAAAA==&#10;" adj="10714">
                        <v:fill on="f" focussize="0,0"/>
                        <v:stroke weight="1pt" color="#000000 [3213]" miterlimit="8" joinstyle="miter" dashstyle="dash" endarrow="open"/>
                        <v:imagedata o:title=""/>
                        <o:lock v:ext="edit" aspectratio="f"/>
                      </v:shape>
                      <v:shape id="_x0000_s1026" o:spid="_x0000_s1026" o:spt="202" type="#_x0000_t202" style="position:absolute;left:1791335;top:3810;height:244475;width:298450;" fillcolor="#FFFFFF [3201]" filled="t" stroked="f" coordsize="21600,21600" o:gfxdata="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3dhR4tEAAAAFAQAADwAAAAAAAAABACAAAAAiAAAAZHJzL2Rvd25y&#10;ZXYueG1sUEsBAhQAFAAAAAgAh07iQEZTC9Q+AgAASwQAAA4AAAAAAAAAAQAgAAAAIAEAAGRycy9l&#10;Mm9Eb2MueG1sUEsFBgAAAAAGAAYAWQEAANAF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27</w:t>
                              </w:r>
                            </w:p>
                          </w:txbxContent>
                        </v:textbox>
                      </v:shape>
                      <v:shape id="_x0000_s1026" o:spid="_x0000_s1026" o:spt="202" type="#_x0000_t202" style="position:absolute;left:2110740;top:138430;height:243205;width:447040;" fillcolor="#FFFFFF [3201]" filled="t" stroked="f" coordsize="21600,21600" o:gfxdata="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3YUeLRAAAABQEAAA8AAAAAAAAAAQAgAAAAIgAAAGRycy9kb3du&#10;cmV2LnhtbFBLAQIUABQAAAAIAIdO4kCYTSP7PwIAAE0EAAAOAAAAAAAAAAEAIAAAACABAABkcnMv&#10;ZTJvRG9jLnhtbFBLBQYAAAAABgAGAFkBAADR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105.3</w:t>
                              </w:r>
                            </w:p>
                          </w:txbxContent>
                        </v:textbox>
                      </v:shape>
                      <v:shape id="_x0000_s1026" o:spid="_x0000_s1026" o:spt="202" type="#_x0000_t202" style="position:absolute;left:3322955;top:194945;height:235585;width:430530;" fillcolor="#FFFFFF [3201]" filled="t" stroked="f" coordsize="21600,21600" o:gfxdata="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3dhR4tEAAAAFAQAADwAAAAAAAAABACAAAAAiAAAAZHJzL2Rv&#10;d25yZXYueG1sUEsBAhQAFAAAAAgAh07iQJFHGWBBAgAATQQAAA4AAAAAAAAAAQAgAAAAIAEAAGRy&#10;cy9lMm9Eb2MueG1sUEsFBgAAAAAGAAYAWQEAANMF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105.3</w:t>
                              </w:r>
                            </w:p>
                          </w:txbxContent>
                        </v:textbox>
                      </v:shape>
                      <v:shape id="_x0000_s1026" o:spid="_x0000_s1026" o:spt="202" type="#_x0000_t202" style="position:absolute;left:2646680;top:1102360;height:243205;width:433705;" fillcolor="#FFFFFF [3201]" filled="t" stroked="f" coordsize="21600,21600" o:gfxdata="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3YUeLRAAAABQEAAA8AAAAAAAAAAQAgAAAAIgAAAGRycy9kb3du&#10;cmV2LnhtbFBLAQIUABQAAAAIAIdO4kCpLu9WPwIAAFAEAAAOAAAAAAAAAAEAIAAAACABAABkcnMv&#10;ZTJvRG9jLnhtbFBLBQYAAAAABgAGAFkBAADR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28188</w:t>
                              </w:r>
                            </w:p>
                          </w:txbxContent>
                        </v:textbox>
                      </v:shape>
                      <v:shape id="_x0000_s1026" o:spid="_x0000_s1026" o:spt="33" type="#_x0000_t33" style="position:absolute;left:1862455;top:1612265;flip:y;height:540385;width:2680970;" filled="f" stroked="t" coordsize="21600,21600" o:gfxdata="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vqvvNMAAAAFAQAADwAAAAAA&#10;AAABACAAAAAiAAAAZHJzL2Rvd25yZXYueG1sUEsBAhQAFAAAAAgAh07iQFH7/oAYAgAA6AMAAA4A&#10;AAAAAAAAAQAgAAAAIgEAAGRycy9lMm9Eb2MueG1sUEsFBgAAAAAGAAYAWQEAAKwFAAAAAA==&#10;">
                        <v:fill on="f" focussize="0,0"/>
                        <v:stroke weight="1pt" color="#000000 [3213]" miterlimit="8" joinstyle="miter" endarrow="open"/>
                        <v:imagedata o:title=""/>
                        <o:lock v:ext="edit" aspectratio="f"/>
                      </v:shape>
                      <v:shape id="_x0000_s1026" o:spid="_x0000_s1026" o:spt="33" type="#_x0000_t33" style="position:absolute;left:1753870;top:1066800;height:194310;width:144145;rotation:-5898240f;" filled="f" stroked="t" coordsize="21600,21600" o:gfxdata="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WEL6dAAAAAFAQAADwAAAAAAAAAB&#10;ACAAAAAiAAAAZHJzL2Rvd25yZXYueG1sUEsBAhQAFAAAAAgAh07iQCKkfOcYAgAA4gMAAA4AAAAA&#10;AAAAAQAgAAAAHwEAAGRycy9lMm9Eb2MueG1sUEsFBgAAAAAGAAYAWQEAAKkFAAAAAA==&#10;">
                        <v:fill on="f" focussize="0,0"/>
                        <v:stroke weight="1pt" color="#000000 [3213]" miterlimit="8" joinstyle="miter" dashstyle="dash" endarrow="open"/>
                        <v:imagedata o:title=""/>
                        <o:lock v:ext="edit" aspectratio="f"/>
                      </v:shape>
                      <v:shape id="_x0000_s1026" o:spid="_x0000_s1026" o:spt="34" type="#_x0000_t34" style="position:absolute;left:0;top:0;height:0;width:0;" filled="f" stroked="t" coordsize="21600,21600" o:gfxdata="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bsg/41gAAAAUBAAAP&#10;AAAAAAAAAAEAIAAAACIAAABkcnMvZG93bnJldi54bWxQSwECFAAUAAAACACHTuJA1qqiIeEBAACD&#10;AwAADgAAAAAAAAABACAAAAAlAQAAZHJzL2Uyb0RvYy54bWxQSwUGAAAAAAYABgBZAQAAeAUAAAAA&#10;">
                        <v:fill on="f" focussize="0,0"/>
                        <v:stroke weight="1pt" color="#4874CB [3204]" miterlimit="8" joinstyle="miter" endarrow="open"/>
                        <v:imagedata o:title=""/>
                        <o:lock v:ext="edit" aspectratio="f"/>
                      </v:shape>
                      <v:shape id="_x0000_s1026" o:spid="_x0000_s1026" o:spt="34" type="#_x0000_t34" style="position:absolute;left:407670;top:1365885;height:786765;width:795020;" filled="f" stroked="t" coordsize="21600,21600" o:gfxdata="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JGqUi1AAA&#10;AAUBAAAPAAAAAAAAAAEAIAAAACIAAABkcnMvZG93bnJldi54bWxQSwECFAAUAAAACACHTuJAjzBn&#10;eiICAAAHBAAADgAAAAAAAAABACAAAAAjAQAAZHJzL2Uyb0RvYy54bWxQSwUGAAAAAAYABgBZAQAA&#10;twUAAAAA&#10;" adj="6625">
                        <v:fill on="f" focussize="0,0"/>
                        <v:stroke weight="1pt" color="#000000 [3213]" miterlimit="8" joinstyle="miter" endarrow="open"/>
                        <v:imagedata o:title=""/>
                        <o:lock v:ext="edit" aspectratio="f"/>
                      </v:shape>
                      <v:shape id="_x0000_s1026" o:spid="_x0000_s1026" o:spt="32" type="#_x0000_t32" style="position:absolute;left:407670;top:1365885;height:1905;width:935990;" filled="f" stroked="t" coordsize="21600,21600" o:gfxdata="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2sHTdQAAAAFAQAADwAAAAAAAAABACAAAAAiAAAAZHJz&#10;L2Rvd25yZXYueG1sUEsBAhQAFAAAAAgAh07iQM48wLEIAgAAxwMAAA4AAAAAAAAAAQAgAAAAIwEA&#10;AGRycy9lMm9Eb2MueG1sUEsFBgAAAAAGAAYAWQEAAJ0FAAAAAA==&#10;">
                        <v:fill on="f" focussize="0,0"/>
                        <v:stroke weight="1pt" color="#000000 [3213]" miterlimit="8" joinstyle="miter" endarrow="open"/>
                        <v:imagedata o:title=""/>
                        <o:lock v:ext="edit" aspectratio="f"/>
                      </v:shape>
                      <v:shape id="_x0000_s1026" o:spid="_x0000_s1026" o:spt="33" type="#_x0000_t33" style="position:absolute;left:1550035;top:1741805;height:175260;width:140970;rotation:-5898240f;" filled="f" stroked="t" coordsize="21600,21600" o:gfxdata="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VhC+nQAAAABQEAAA8AAAAAAAAAAQAg&#10;AAAAIgAAAGRycy9kb3ducmV2LnhtbFBLAQIUABQAAAAIAIdO4kBgcbWAFgIAAOADAAAOAAAAAAAA&#10;AAEAIAAAAB8BAABkcnMvZTJvRG9jLnhtbFBLBQYAAAAABgAGAFkBAACnBQAAAAA=&#10;">
                        <v:fill on="f" focussize="0,0"/>
                        <v:stroke weight="1pt" color="#000000 [3213]" miterlimit="8" joinstyle="miter" dashstyle="dash" endarrow="open"/>
                        <v:imagedata o:title=""/>
                        <o:lock v:ext="edit" aspectratio="f"/>
                      </v:shape>
                      <v:shape id="_x0000_s1026" o:spid="_x0000_s1026" o:spt="32" type="#_x0000_t32" style="position:absolute;left:2113915;top:1361440;flip:y;height:13335;width:2058035;" filled="f" stroked="t" coordsize="21600,21600" o:gfxdata="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fBnMDXAAAABQEAAA8A&#10;AAAAAAAAAQAgAAAAIgAAAGRycy9kb3ducmV2LnhtbFBLAQIUABQAAAAIAIdO4kAgTSy+GAIAAO8D&#10;AAAOAAAAAAAAAAEAIAAAACYBAABkcnMvZTJvRG9jLnhtbFBLBQYAAAAABgAGAFkBAACwBQAAAAA=&#10;">
                        <v:fill on="f" focussize="0,0"/>
                        <v:stroke weight="1pt" color="#000000 [3213]" miterlimit="8" joinstyle="miter" endarrow="open"/>
                        <v:imagedata o:title=""/>
                        <o:lock v:ext="edit" aspectratio="f"/>
                      </v:shape>
                      <v:shape id="_x0000_s1026" o:spid="_x0000_s1026" o:spt="202" type="#_x0000_t202" style="position:absolute;left:735965;top:1098550;height:252730;width:449580;" fillcolor="#FFFFFF [3201]" filled="t" stroked="f" coordsize="21600,21600" o:gfxdata="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3dhR4tEAAAAFAQAADwAAAAAAAAABACAAAAAiAAAAZHJzL2Rv&#10;d25yZXYueG1sUEsBAhQAFAAAAAgAh07iQK6n96ZBAgAATQQAAA4AAAAAAAAAAQAgAAAAIAEAAGRy&#10;cy9lMm9Eb2MueG1sUEsFBgAAAAAGAAYAWQEAANMF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31320</w:t>
                              </w:r>
                            </w:p>
                          </w:txbxContent>
                        </v:textbox>
                      </v:shape>
                      <v:shape id="_x0000_s1026" o:spid="_x0000_s1026" o:spt="202" type="#_x0000_t202" style="position:absolute;left:1919605;top:960120;height:238760;width:408305;" fillcolor="#FFFFFF [3201]" filled="t" stroked="f" coordsize="21600,21600" o:gfxdata="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3YUeLRAAAABQEAAA8AAAAAAAAAAQAgAAAAIgAAAGRycy9kb3du&#10;cmV2LnhtbFBLAQIUABQAAAAIAIdO4kDyRJ7wPwIAAE0EAAAOAAAAAAAAAAEAIAAAACABAABkcnMv&#10;ZTJvRG9jLnhtbFBLBQYAAAAABgAGAFkBAADR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3132</w:t>
                              </w:r>
                            </w:p>
                          </w:txbxContent>
                        </v:textbox>
                      </v:shape>
                      <v:shape id="_x0000_s1026" o:spid="_x0000_s1026" o:spt="202" type="#_x0000_t202" style="position:absolute;left:696595;top:1889760;height:238760;width:441325;" fillcolor="#FFFFFF [3201]" filled="t" stroked="f" coordsize="21600,21600" o:gfxdata="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d2FHi0QAAAAUBAAAPAAAAAAAAAAEAIAAAACIAAABkcnMvZG93&#10;bnJldi54bWxQSwECFAAUAAAACACHTuJAqtRlKUACAABNBAAADgAAAAAAAAABACAAAAAgAQAAZHJz&#10;L2Uyb0RvYy54bWxQSwUGAAAAAAYABgBZAQAA0gU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7200</w:t>
                              </w:r>
                            </w:p>
                          </w:txbxContent>
                        </v:textbox>
                      </v:shape>
                      <v:shape id="_x0000_s1026" o:spid="_x0000_s1026" o:spt="202" type="#_x0000_t202" style="position:absolute;left:1700530;top:1627505;height:238760;width:387350;" fillcolor="#FFFFFF [3201]" filled="t" stroked="f" coordsize="21600,21600" o:gfxdata="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3YUeLRAAAABQEAAA8AAAAAAAAAAQAgAAAAIgAAAGRycy9kb3du&#10;cmV2LnhtbFBLAQIUABQAAAAIAIdO4kCiXsLSPwIAAE4EAAAOAAAAAAAAAAEAIAAAACABAABkcnMv&#10;ZTJvRG9jLnhtbFBLBQYAAAAABgAGAFkBAADR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6790</w:t>
                              </w:r>
                            </w:p>
                          </w:txbxContent>
                        </v:textbox>
                      </v:shape>
                      <v:shape id="_x0000_s1026" o:spid="_x0000_s1026" o:spt="202" type="#_x0000_t202" style="position:absolute;left:2631440;top:1884680;height:252730;width:346710;" fillcolor="#FFFFFF [3201]" filled="t" stroked="f" coordsize="21600,21600" o:gfxdata="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3YUeLRAAAABQEAAA8AAAAAAAAAAQAgAAAAIgAAAGRycy9kb3du&#10;cmV2LnhtbFBLAQIUABQAAAAIAIdO4kATWb31PwIAAE4EAAAOAAAAAAAAAAEAIAAAACABAABkcnMv&#10;ZTJvRG9jLnhtbFBLBQYAAAAABgAGAFkBAADR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410</w:t>
                              </w:r>
                            </w:p>
                          </w:txbxContent>
                        </v:textbox>
                      </v:shape>
                      <v:shape id="_x0000_s1026" o:spid="_x0000_s1026" o:spt="202" type="#_x0000_t202" style="position:absolute;left:1174750;top:2910840;height:276860;width:730885;" fillcolor="#FFFFFF [3201]" filled="t" stroked="t" coordsize="21600,21600" o:gfxdata="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n+Bsx0wAAAAUBAAAPAAAAAAAAAAEAIAAAACIA&#10;AABkcnMvZG93bnJldi54bWxQSwECFAAUAAAACACHTuJApQQFLkcCAAB0BAAADgAAAAAAAAABACAA&#10;AAAiAQAAZHJzL2Uyb0RvYy54bWxQSwUGAAAAAAYABgBZAQAA2w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水膜除尘</w:t>
                              </w:r>
                            </w:p>
                          </w:txbxContent>
                        </v:textbox>
                      </v:shape>
                      <v:shape id="_x0000_s1026" o:spid="_x0000_s1026" o:spt="34" type="#_x0000_t34" style="position:absolute;left:400050;top:1365885;height:1683385;width:767080;" filled="f" stroked="t" coordsize="21600,21600" o:gfxdata="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&#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JE7WTWAAAABQEAAA8AAAAAAAAAAQAgAAAAIgAAAGRy&#10;cy9kb3ducmV2LnhtbFBLAQIUABQAAAAIAIdO4kB0faJyBwIAAMQDAAAOAAAAAAAAAAEAIAAAACUB&#10;AABkcnMvZTJvRG9jLnhtbFBLBQYAAAAABgAGAFkBAACeBQAAAAA=&#10;" adj="7009">
                        <v:fill on="f" focussize="0,0"/>
                        <v:stroke weight="1pt" color="#000000 [3213]" miterlimit="8" joinstyle="miter" endarrow="open"/>
                        <v:imagedata o:title=""/>
                        <o:lock v:ext="edit" aspectratio="f"/>
                      </v:shape>
                      <v:shape id="_x0000_s1026" o:spid="_x0000_s1026" o:spt="202" type="#_x0000_t202" style="position:absolute;left:2413000;top:2910205;height:285750;width:769620;" fillcolor="#FFFFFF [3201]" filled="t" stroked="t" coordsize="21600,21600" o:gfxdata="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n+Bsx0wAAAAUBAAAPAAAAAAAAAAEAIAAAACIA&#10;AABkcnMvZG93bnJldi54bWxQSwECFAAUAAAACACHTuJAEWnNQ0cCAAB0BAAADgAAAAAAAAABACAA&#10;AAAiAQAAZHJzL2Uyb0RvYy54bWxQSwUGAAAAAAYABgBZAQAA2w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循环水池</w:t>
                              </w:r>
                            </w:p>
                          </w:txbxContent>
                        </v:textbox>
                      </v:shape>
                      <v:shape id="_x0000_s1026" o:spid="_x0000_s1026" o:spt="32" type="#_x0000_t32" style="position:absolute;left:1905635;top:3049270;height:3810;width:507365;" filled="f" stroked="t" coordsize="21600,21600" o:gfxdata="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DawdN1AAAAAUBAAAPAAAAAAAAAAEAIAAA&#10;ACIAAABkcnMvZG93bnJldi54bWxQSwECFAAUAAAACACHTuJA8Xy4khACAADhAwAADgAAAAAAAAAB&#10;ACAAAAAjAQAAZHJzL2Uyb0RvYy54bWxQSwUGAAAAAAYABgBZAQAApQUAAAAA&#10;">
                        <v:fill on="f" focussize="0,0"/>
                        <v:stroke weight="1pt" color="#000000 [3213]" miterlimit="8" joinstyle="miter" endarrow="open"/>
                        <v:imagedata o:title=""/>
                        <o:lock v:ext="edit" aspectratio="f"/>
                      </v:shape>
                      <v:shape id="_x0000_s1026" o:spid="_x0000_s1026" o:spt="34" type="#_x0000_t34" style="position:absolute;left:2177415;top:2590165;flip:x;height:1217295;width:6985;rotation:-5898240f;" filled="f" stroked="t" coordsize="21600,21600" o:gfxdata="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M83b60wAAAAUBAAAP&#10;AAAAAAAAAAEAIAAAACIAAABkcnMvZG93bnJldi54bWxQSwECFAAUAAAACACHTuJAUkDpuR0CAADg&#10;AwAADgAAAAAAAAABACAAAAAiAQAAZHJzL2Uyb0RvYy54bWxQSwUGAAAAAAYABgBZAQAAsQUAAAAA&#10;" adj="-736364">
                        <v:fill on="f" focussize="0,0"/>
                        <v:stroke weight="1pt" color="#000000 [3213]" miterlimit="8" joinstyle="miter" endarrow="open"/>
                        <v:imagedata o:title=""/>
                        <o:lock v:ext="edit" aspectratio="f"/>
                      </v:shape>
                      <v:shape id="_x0000_s1026" o:spid="_x0000_s1026" o:spt="33" type="#_x0000_t33" style="position:absolute;left:1567180;top:2700655;height:197485;width:176530;rotation:-5898240f;" filled="f" stroked="t" coordsize="21600,21600" o:gfxdata="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YQvp0AAAAAUBAAAPAAAAAAAAAAEAIAAAACIAAABkcnMvZG93bnJl&#10;di54bWxQSwECFAAUAAAACACHTuJAEX76jQUCAAC5AwAADgAAAAAAAAABACAAAAAfAQAAZHJzL2Uy&#10;b0RvYy54bWxQSwUGAAAAAAYABgBZAQAAlgUAAAAA&#10;">
                        <v:fill on="f" focussize="0,0"/>
                        <v:stroke weight="1pt" color="#000000 [3213]" miterlimit="8" joinstyle="miter" dashstyle="dash" endarrow="open"/>
                        <v:imagedata o:title=""/>
                        <o:lock v:ext="edit" aspectratio="f"/>
                      </v:shape>
                      <v:shape id="_x0000_s1026" o:spid="_x0000_s1026" o:spt="202" type="#_x0000_t202" style="position:absolute;left:1771650;top:2614930;height:233680;width:318135;" fillcolor="#FFFFFF [3201]" filled="t" stroked="f" coordsize="21600,21600" o:gfxdata="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3YUeLRAAAABQEAAA8AAAAAAAAAAQAgAAAAIgAAAGRycy9kb3du&#10;cmV2LnhtbFBLAQIUABQAAAAIAIdO4kDvWDXYPwIAAE4EAAAOAAAAAAAAAAEAIAAAACABAABkcnMv&#10;ZTJvRG9jLnhtbFBLBQYAAAAABgAGAFkBAADR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27</w:t>
                              </w:r>
                            </w:p>
                          </w:txbxContent>
                        </v:textbox>
                      </v:shape>
                      <v:shape id="_x0000_s1026" o:spid="_x0000_s1026" o:spt="202" type="#_x0000_t202" style="position:absolute;left:735330;top:2773045;height:233680;width:318135;" fillcolor="#FFFFFF [3201]" filled="t" stroked="f" coordsize="21600,21600" o:gfxdata="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3dhR4tEAAAAFAQAADwAAAAAAAAABACAAAAAiAAAAZHJzL2Rv&#10;d25yZXYueG1sUEsBAhQAFAAAAAgAh07iQCpN/u9BAgAATQQAAA4AAAAAAAAAAQAgAAAAIAEAAGRy&#10;cy9lMm9Eb2MueG1sUEsFBgAAAAAGAAYAWQEAANMF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27</w:t>
                              </w:r>
                            </w:p>
                          </w:txbxContent>
                        </v:textbox>
                      </v:shape>
                      <v:shape id="_x0000_s1026" o:spid="_x0000_s1026" o:spt="202" type="#_x0000_t202" style="position:absolute;left:1973580;top:2791460;height:233680;width:238760;" fillcolor="#FFFFFF [3201]" filled="t" stroked="f" coordsize="21600,21600" o:gfxdata="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3YUeLRAAAABQEAAA8AAAAAAAAAAQAgAAAAIgAAAGRycy9kb3ducmV2&#10;LnhtbFBLAQIUABQAAAAIAIdO4kDj8VWDPAIAAE4EAAAOAAAAAAAAAAEAIAAAACABAABkcnMvZTJv&#10;RG9jLnhtbFBLBQYAAAAABgAGAFkBAADO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w:t>
                              </w:r>
                            </w:p>
                          </w:txbxContent>
                        </v:textbox>
                      </v:shape>
                      <v:shape id="_x0000_s1026" o:spid="_x0000_s1026" o:spt="202" type="#_x0000_t202" style="position:absolute;left:2045335;top:3112135;height:233680;width:357505;" fillcolor="#FFFFFF [3201]" filled="t" stroked="f" coordsize="21600,21600" o:gfxdata="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3dhR4tEAAAAFAQAADwAAAAAAAAABACAAAAAiAAAAZHJzL2Rv&#10;d25yZXYueG1sUEsBAhQAFAAAAAgAh07iQHCYpTpBAgAATgQAAA4AAAAAAAAAAQAgAAAAIAEAAGRy&#10;cy9lMm9Eb2MueG1sUEsFBgAAAAAGAAYAWQEAANMF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w:t>
                              </w:r>
                            </w:p>
                          </w:txbxContent>
                        </v:textbox>
                      </v:shape>
                      <v:shape id="_x0000_s1026" o:spid="_x0000_s1026" o:spt="202" type="#_x0000_t202" style="position:absolute;left:1817370;top:3648710;height:317500;width:540385;" fillcolor="#FFFFFF [3201]" filled="t" stroked="t" coordsize="21600,21600" o:gfxdata="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f4GzHTAAAABQEAAA8AAAAAAAAAAQAgAAAA&#10;IgAAAGRycy9kb3ducmV2LnhtbFBLAQIUABQAAAAIAIdO4kDS+BlqSQIAAHgEAAAOAAAAAAAAAAEA&#10;IAAAACIBAABkcnMvZTJvRG9jLnhtbFBLBQYAAAAABgAGAFkBAADd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绿化</w:t>
                              </w:r>
                            </w:p>
                          </w:txbxContent>
                        </v:textbox>
                      </v:shape>
                      <v:shape id="_x0000_s1026" o:spid="_x0000_s1026" o:spt="202" type="#_x0000_t202" style="position:absolute;left:2648585;top:3549650;height:257175;width:348615;" fillcolor="#FFFFFF [3201]" filled="t" stroked="f" coordsize="21600,21600" o:gfxdata="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3dhR4tEAAAAFAQAADwAAAAAAAAABACAAAAAiAAAAZHJzL2Rv&#10;d25yZXYueG1sUEsBAhQAFAAAAAgAh07iQAJA1XNBAgAAUAQAAA4AAAAAAAAAAQAgAAAAIAEAAGRy&#10;cy9lMm9Eb2MueG1sUEsFBgAAAAAGAAYAWQEAANMF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186</w:t>
                              </w:r>
                            </w:p>
                          </w:txbxContent>
                        </v:textbox>
                      </v:shape>
                      <v:shape id="_x0000_s1026" o:spid="_x0000_s1026" o:spt="202" type="#_x0000_t202" style="position:absolute;left:927735;top:3528060;height:257175;width:348615;" fillcolor="#FFFFFF [3201]" filled="t" stroked="f" coordsize="21600,21600" o:gfxdata="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d2FHi0QAAAAUBAAAPAAAAAAAAAAEAIAAAACIAAABkcnMvZG93&#10;bnJldi54bWxQSwECFAAUAAAACACHTuJAc0G3R0ACAABPBAAADgAAAAAAAAABACAAAAAgAQAAZHJz&#10;L2Uyb0RvYy54bWxQSwUGAAAAAAYABgBZAQAA0gU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186</w:t>
                              </w:r>
                            </w:p>
                          </w:txbxContent>
                        </v:textbox>
                      </v:shape>
                      <v:shape id="_x0000_s1026" o:spid="_x0000_s1026" o:spt="202" type="#_x0000_t202" style="position:absolute;left:3973830;top:721995;height:254000;width:532765;" fillcolor="#FFFFFF [3201]" filled="t" stroked="f" coordsize="21600,21600" o:gfxdata="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3dhR4tEAAAAFAQAADwAAAAAAAAABACAAAAAiAAAAZHJz&#10;L2Rvd25yZXYueG1sUEsBAhQAFAAAAAgAh07iQI3/pQtEAgAATwQAAA4AAAAAAAAAAQAgAAAAIAEA&#10;AGRycy9lMm9Eb2MueG1sUEsFBgAAAAAGAAYAWQEAANYF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48703.3</w:t>
                              </w:r>
                            </w:p>
                          </w:txbxContent>
                        </v:textbox>
                      </v:shape>
                      <v:shape id="_x0000_s1026" o:spid="_x0000_s1026" o:spt="34" type="#_x0000_t34" style="position:absolute;left:3298825;top:399415;height:635;width:582295;" filled="f" stroked="t" coordsize="21600,21600" o:gfxdata="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4Sb&#10;nNcAAAAFAQAADwAAAAAAAAABACAAAAAiAAAAZHJzL2Rvd25yZXYueG1sUEsBAhQAFAAAAAgAh07i&#10;QK57M3gjAgAABgQAAA4AAAAAAAAAAQAgAAAAJgEAAGRycy9lMm9Eb2MueG1sUEsFBgAAAAAGAAYA&#10;WQEAALsFAAAAAA==&#10;" adj="10812">
                        <v:fill on="f" focussize="0,0"/>
                        <v:stroke weight="1pt" color="#000000 [3213]" miterlimit="8" joinstyle="miter" endarrow="open"/>
                        <v:imagedata o:title=""/>
                        <o:lock v:ext="edit" aspectratio="f"/>
                      </v:shape>
                      <v:shape id="_x0000_s1026" o:spid="_x0000_s1026" o:spt="34" type="#_x0000_t34" style="position:absolute;left:407670;top:1365885;height:2441575;width:1409700;" filled="f" stroked="t" coordsize="21600,21600" o:gfxdata="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PATb&#10;1QAAAAUBAAAPAAAAAAAAAAEAIAAAACIAAABkcnMvZG93bnJldi54bWxQSwECFAAUAAAACACHTuJA&#10;kbyyDSQCAAAMBAAADgAAAAAAAAABACAAAAAkAQAAZHJzL2Uyb0RvYy54bWxQSwUGAAAAAAYABgBZ&#10;AQAAugUAAAAA&#10;" adj="3717">
                        <v:fill on="f" focussize="0,0"/>
                        <v:stroke weight="1pt" color="#000000 [3213]" miterlimit="8" joinstyle="miter" endarrow="open"/>
                        <v:imagedata o:title=""/>
                        <o:lock v:ext="edit" aspectratio="f"/>
                      </v:shape>
                      <v:shape id="_x0000_s1026" o:spid="_x0000_s1026" o:spt="34" type="#_x0000_t34" style="position:absolute;left:2357755;top:3721100;flip:y;height:86360;width:301625;" filled="f" stroked="t" coordsize="21600,21600" o:gfxdata="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dot2F1gAA&#10;AAUBAAAPAAAAAAAAAAEAIAAAACIAAABkcnMvZG93bnJldi54bWxQSwECFAAUAAAACACHTuJAYe1e&#10;5SACAAD5AwAADgAAAAAAAAABACAAAAAlAQAAZHJzL2Uyb0RvYy54bWxQSwUGAAAAAAYABgBZAQAA&#10;twUAAAAA&#10;" adj="10823">
                        <v:fill on="f" focussize="0,0"/>
                        <v:stroke weight="1pt" color="#000000 [3213]" miterlimit="8" joinstyle="miter" endarrow="open"/>
                        <v:imagedata o:title=""/>
                        <o:lock v:ext="edit" aspectratio="f"/>
                      </v:shape>
                      <w10:wrap type="none"/>
                      <w10:anchorlock/>
                    </v:group>
                  </w:pict>
                </mc:Fallback>
              </mc:AlternateContent>
            </w:r>
            <w:r>
              <w:rPr>
                <w:rFonts w:hint="eastAsia"/>
                <w:b/>
                <w:bCs/>
                <w:color w:val="auto"/>
                <w:sz w:val="21"/>
                <w:lang w:eastAsia="zh-CN"/>
              </w:rPr>
              <w:t>图</w:t>
            </w:r>
            <w:r>
              <w:rPr>
                <w:rFonts w:hint="eastAsia"/>
                <w:b/>
                <w:bCs/>
                <w:color w:val="auto"/>
                <w:sz w:val="21"/>
                <w:lang w:val="en-US" w:eastAsia="zh-CN"/>
              </w:rPr>
              <w:t>2-1  项目运营期年用水量平衡图  单位：t/a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8</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sz w:val="24"/>
                <w:szCs w:val="24"/>
                <w:lang w:val="en-US" w:eastAsia="zh-CN"/>
              </w:rPr>
              <w:t>劳动定员及工作制度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项目劳动定员</w:t>
            </w:r>
            <w:r>
              <w:rPr>
                <w:rFonts w:hint="eastAsia" w:ascii="Times New Roman" w:hAnsi="Times New Roman" w:eastAsia="宋体"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人，每</w:t>
            </w:r>
            <w:r>
              <w:rPr>
                <w:rFonts w:hint="eastAsia" w:ascii="Times New Roman" w:hAnsi="Times New Roman" w:eastAsia="宋体" w:cs="Times New Roman"/>
                <w:color w:val="auto"/>
                <w:sz w:val="24"/>
                <w:szCs w:val="24"/>
                <w:lang w:val="en-US" w:eastAsia="zh-CN"/>
              </w:rPr>
              <w:t>天10</w:t>
            </w:r>
            <w:r>
              <w:rPr>
                <w:rFonts w:hint="default" w:ascii="Times New Roman" w:hAnsi="Times New Roman" w:eastAsia="宋体" w:cs="Times New Roman"/>
                <w:color w:val="auto"/>
                <w:sz w:val="24"/>
                <w:szCs w:val="24"/>
                <w:lang w:val="en-US" w:eastAsia="zh-CN"/>
              </w:rPr>
              <w:t>小时工作时间，</w:t>
            </w:r>
            <w:r>
              <w:rPr>
                <w:rFonts w:hint="eastAsia" w:ascii="Times New Roman" w:hAnsi="Times New Roman" w:eastAsia="宋体" w:cs="Times New Roman"/>
                <w:color w:val="auto"/>
                <w:sz w:val="24"/>
                <w:szCs w:val="24"/>
                <w:lang w:val="en-US" w:eastAsia="zh-CN"/>
              </w:rPr>
              <w:t>360天</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项目职工均为当地务工人员，不在项目区食宿，只有2名值班人员在厂区食宿，其余13人不在项目区食宿。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9</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sz w:val="24"/>
                <w:szCs w:val="24"/>
                <w:lang w:val="en-US" w:eastAsia="zh-CN"/>
              </w:rPr>
              <w:t>总平面布置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项目位于</w:t>
            </w:r>
            <w:r>
              <w:rPr>
                <w:rFonts w:hint="eastAsia" w:ascii="Times New Roman" w:hAnsi="Times New Roman" w:eastAsia="宋体" w:cs="Times New Roman"/>
                <w:color w:val="auto"/>
                <w:sz w:val="24"/>
                <w:szCs w:val="24"/>
                <w:lang w:val="en-US" w:eastAsia="zh-CN"/>
              </w:rPr>
              <w:t>洱源县牛街乡太平村</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新建彩钢瓦洗涤厂房，并</w:t>
            </w:r>
            <w:r>
              <w:rPr>
                <w:rFonts w:hint="default" w:ascii="Times New Roman" w:hAnsi="Times New Roman" w:eastAsia="宋体" w:cs="Times New Roman"/>
                <w:color w:val="auto"/>
                <w:sz w:val="24"/>
                <w:szCs w:val="24"/>
                <w:lang w:val="en-US" w:eastAsia="zh-CN"/>
              </w:rPr>
              <w:t>安装生产设备及环保设施。其</w:t>
            </w:r>
            <w:r>
              <w:rPr>
                <w:rFonts w:hint="eastAsia" w:ascii="Times New Roman" w:hAnsi="Times New Roman" w:eastAsia="宋体" w:cs="Times New Roman"/>
                <w:color w:val="auto"/>
                <w:sz w:val="24"/>
                <w:szCs w:val="24"/>
                <w:lang w:val="en-US" w:eastAsia="zh-CN"/>
              </w:rPr>
              <w:t>洗涤厂房</w:t>
            </w:r>
            <w:r>
              <w:rPr>
                <w:rFonts w:hint="default" w:ascii="Times New Roman" w:hAnsi="Times New Roman" w:eastAsia="宋体" w:cs="Times New Roman"/>
                <w:color w:val="auto"/>
                <w:sz w:val="24"/>
                <w:szCs w:val="24"/>
                <w:lang w:val="en-US" w:eastAsia="zh-CN"/>
              </w:rPr>
              <w:t>建设整体呈现规则矩形，</w:t>
            </w:r>
            <w:r>
              <w:rPr>
                <w:rFonts w:hint="eastAsia" w:ascii="Times New Roman" w:hAnsi="Times New Roman" w:eastAsia="宋体" w:cs="Times New Roman"/>
                <w:color w:val="auto"/>
                <w:sz w:val="24"/>
                <w:szCs w:val="24"/>
                <w:lang w:val="en-US" w:eastAsia="zh-CN"/>
              </w:rPr>
              <w:t>项目设备由南至北进行布设，从南至北依次为洗脱区、烘干区、熨烫区、折叠区及成品堆放区，厂区大门位于西北侧，生活办公区位于厂区南侧，洱源县常年为西南风，西侧居民点属于项目上风向，由于项目区天然气未覆盖，项目锅炉燃料采用成型生物质燃料，锅炉燃烧产生的废气经水膜除尘器处理后，经一根30m高排气筒达标排放；大大降低了大气污染物对周边环境的影响；锅炉配套的风机噪声较大，在设计及建设阶段，对此进行了降噪考虑，锅炉房远离西北侧居民点单独设置，之间用厂房进行阻隔，且进行基础固定，安装减震垫措施，在西侧厂界处进行绿化措施，项目区产噪设备经墙体阻隔、距离衰减及厂区绿化吸附措施大大降低了噪声对周边居民点的影响。厂区紧邻乡村道路，车辆出入交通便利，便于布草运输。整个厂区布局紧凑便捷，项目生产区按工艺流程布置生产设备。项目平面布置见附图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10</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sz w:val="24"/>
                <w:szCs w:val="24"/>
                <w:lang w:val="en-US" w:eastAsia="zh-CN"/>
              </w:rPr>
              <w:t>项目投资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项目总投资</w:t>
            </w:r>
            <w:r>
              <w:rPr>
                <w:rFonts w:hint="eastAsia" w:ascii="Times New Roman" w:hAnsi="Times New Roman" w:eastAsia="宋体" w:cs="Times New Roman"/>
                <w:color w:val="auto"/>
                <w:sz w:val="24"/>
                <w:szCs w:val="24"/>
                <w:lang w:val="en-US" w:eastAsia="zh-CN"/>
              </w:rPr>
              <w:t>150</w:t>
            </w:r>
            <w:r>
              <w:rPr>
                <w:rFonts w:hint="default" w:ascii="Times New Roman" w:hAnsi="Times New Roman" w:eastAsia="宋体" w:cs="Times New Roman"/>
                <w:color w:val="auto"/>
                <w:sz w:val="24"/>
                <w:szCs w:val="24"/>
                <w:lang w:val="en-US" w:eastAsia="zh-CN"/>
              </w:rPr>
              <w:t>万元，环保投资</w:t>
            </w:r>
            <w:r>
              <w:rPr>
                <w:rFonts w:hint="eastAsia" w:ascii="Times New Roman" w:hAnsi="Times New Roman" w:eastAsia="宋体" w:cs="Times New Roman"/>
                <w:color w:val="auto"/>
                <w:sz w:val="24"/>
                <w:szCs w:val="24"/>
                <w:lang w:val="en-US" w:eastAsia="zh-CN"/>
              </w:rPr>
              <w:t>13.6</w:t>
            </w:r>
            <w:r>
              <w:rPr>
                <w:rFonts w:hint="default" w:ascii="Times New Roman" w:hAnsi="Times New Roman" w:eastAsia="宋体" w:cs="Times New Roman"/>
                <w:color w:val="auto"/>
                <w:sz w:val="24"/>
                <w:szCs w:val="24"/>
                <w:lang w:val="en-US" w:eastAsia="zh-CN"/>
              </w:rPr>
              <w:t>万元，占总投资比例为</w:t>
            </w:r>
            <w:r>
              <w:rPr>
                <w:rFonts w:hint="eastAsia" w:ascii="Times New Roman" w:hAnsi="Times New Roman" w:eastAsia="宋体" w:cs="Times New Roman"/>
                <w:color w:val="auto"/>
                <w:sz w:val="24"/>
                <w:szCs w:val="24"/>
                <w:lang w:val="en-US" w:eastAsia="zh-CN"/>
              </w:rPr>
              <w:t>9.07</w:t>
            </w:r>
            <w:r>
              <w:rPr>
                <w:rFonts w:hint="default" w:ascii="Times New Roman" w:hAnsi="Times New Roman" w:eastAsia="宋体" w:cs="Times New Roman"/>
                <w:color w:val="auto"/>
                <w:sz w:val="24"/>
                <w:szCs w:val="24"/>
                <w:lang w:val="en-US" w:eastAsia="zh-CN"/>
              </w:rPr>
              <w:t>%。项目环保投资估算见下表；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表2-7  环保投资一览表</w:t>
            </w:r>
          </w:p>
          <w:tbl>
            <w:tblPr>
              <w:tblStyle w:val="7"/>
              <w:tblW w:w="7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288"/>
              <w:gridCol w:w="3098"/>
              <w:gridCol w:w="1239"/>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阶段</w:t>
                  </w:r>
                </w:p>
              </w:tc>
              <w:tc>
                <w:tcPr>
                  <w:tcW w:w="1288"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类别</w:t>
                  </w:r>
                </w:p>
              </w:tc>
              <w:tc>
                <w:tcPr>
                  <w:tcW w:w="3098"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环保设施</w:t>
                  </w:r>
                </w:p>
              </w:tc>
              <w:tc>
                <w:tcPr>
                  <w:tcW w:w="1239"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投资额（万元）</w:t>
                  </w:r>
                </w:p>
              </w:tc>
              <w:tc>
                <w:tcPr>
                  <w:tcW w:w="1707"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施工期</w:t>
                  </w:r>
                </w:p>
              </w:tc>
              <w:tc>
                <w:tcPr>
                  <w:tcW w:w="12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施工扬尘</w:t>
                  </w: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洒水抑尘</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0.1</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2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施工废水</w:t>
                  </w: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依托周边卫生间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2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施工固废</w:t>
                  </w: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垃圾桶</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0.2</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2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施工噪声</w:t>
                  </w: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使用低噪声设备、减震、降噪措施，减速禁鸣</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1.0</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运营期</w:t>
                  </w:r>
                </w:p>
              </w:tc>
              <w:tc>
                <w:tcPr>
                  <w:tcW w:w="1288"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废气处理</w:t>
                  </w: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水膜</w:t>
                  </w:r>
                  <w:r>
                    <w:rPr>
                      <w:rFonts w:hint="default" w:ascii="Times New Roman" w:hAnsi="Times New Roman" w:eastAsia="宋体" w:cs="Times New Roman"/>
                      <w:color w:val="auto"/>
                      <w:sz w:val="21"/>
                      <w:szCs w:val="21"/>
                      <w:vertAlign w:val="baseline"/>
                      <w:lang w:val="en-US" w:eastAsia="zh-CN"/>
                    </w:rPr>
                    <w:t>除尘器</w:t>
                  </w:r>
                  <w:r>
                    <w:rPr>
                      <w:rFonts w:hint="eastAsia" w:ascii="Times New Roman" w:hAnsi="Times New Roman" w:eastAsia="宋体" w:cs="Times New Roman"/>
                      <w:color w:val="auto"/>
                      <w:sz w:val="21"/>
                      <w:szCs w:val="21"/>
                      <w:vertAlign w:val="baseline"/>
                      <w:lang w:val="en-US" w:eastAsia="zh-CN"/>
                    </w:rPr>
                    <w:t>2</w:t>
                  </w:r>
                  <w:r>
                    <w:rPr>
                      <w:rFonts w:hint="default" w:ascii="Times New Roman" w:hAnsi="Times New Roman" w:eastAsia="宋体" w:cs="Times New Roman"/>
                      <w:color w:val="auto"/>
                      <w:sz w:val="21"/>
                      <w:szCs w:val="21"/>
                      <w:vertAlign w:val="baseline"/>
                      <w:lang w:val="en-US" w:eastAsia="zh-CN"/>
                    </w:rPr>
                    <w:t>台</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0.2</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设备自带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288"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30</w:t>
                  </w:r>
                  <w:r>
                    <w:rPr>
                      <w:rFonts w:hint="default" w:ascii="Times New Roman" w:hAnsi="Times New Roman" w:eastAsia="宋体" w:cs="Times New Roman"/>
                      <w:color w:val="auto"/>
                      <w:sz w:val="21"/>
                      <w:szCs w:val="21"/>
                      <w:vertAlign w:val="baseline"/>
                      <w:lang w:val="en-US" w:eastAsia="zh-CN"/>
                    </w:rPr>
                    <w:t>m高排气筒1根</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288"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废水处理</w:t>
                  </w: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生产区化粪</w:t>
                  </w:r>
                  <w:r>
                    <w:rPr>
                      <w:rFonts w:hint="default" w:ascii="Times New Roman" w:hAnsi="Times New Roman" w:eastAsia="宋体" w:cs="Times New Roman"/>
                      <w:color w:val="auto"/>
                      <w:sz w:val="21"/>
                      <w:szCs w:val="21"/>
                      <w:vertAlign w:val="baseline"/>
                      <w:lang w:val="en-US" w:eastAsia="zh-CN"/>
                    </w:rPr>
                    <w:t>池</w:t>
                  </w:r>
                  <w:r>
                    <w:rPr>
                      <w:rFonts w:hint="eastAsia" w:ascii="Times New Roman" w:hAnsi="Times New Roman" w:eastAsia="宋体" w:cs="Times New Roman"/>
                      <w:color w:val="auto"/>
                      <w:sz w:val="21"/>
                      <w:szCs w:val="21"/>
                      <w:vertAlign w:val="baseline"/>
                      <w:lang w:val="en-US" w:eastAsia="zh-CN"/>
                    </w:rPr>
                    <w:t>（80m³）</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288"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生活区化粪池（4m³）</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0.5</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288"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固废处理</w:t>
                  </w: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垃圾桶若干</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0.5</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288"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锅炉灰暂存间</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0.1</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288"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污泥池</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2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噪声</w:t>
                  </w:r>
                </w:p>
              </w:tc>
              <w:tc>
                <w:tcPr>
                  <w:tcW w:w="30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基础减震、厂房隔音</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环评要求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5" w:type="dxa"/>
                  <w:gridSpan w:val="3"/>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合计</w:t>
                  </w:r>
                </w:p>
              </w:tc>
              <w:tc>
                <w:tcPr>
                  <w:tcW w:w="12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13.6</w:t>
                  </w:r>
                </w:p>
              </w:tc>
              <w:tc>
                <w:tcPr>
                  <w:tcW w:w="170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p>
              </w:tc>
            </w:tr>
          </w:tbl>
          <w:p>
            <w:pPr>
              <w:bidi w:val="0"/>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tcPr>
          <w:p>
            <w:pPr>
              <w:numPr>
                <w:ilvl w:val="0"/>
                <w:numId w:val="0"/>
              </w:numPr>
              <w:bidi w:val="0"/>
              <w:rPr>
                <w:rFonts w:hint="default"/>
                <w:color w:val="auto"/>
                <w:vertAlign w:val="baseline"/>
                <w:lang w:val="en-US" w:eastAsia="zh-CN"/>
              </w:rPr>
            </w:pPr>
            <w:r>
              <w:rPr>
                <w:rFonts w:hint="eastAsia"/>
                <w:color w:val="auto"/>
                <w:vertAlign w:val="baseline"/>
                <w:lang w:val="en-US" w:eastAsia="zh-CN"/>
              </w:rPr>
              <w:t>工艺流程和产排污环节</w:t>
            </w:r>
          </w:p>
        </w:tc>
        <w:tc>
          <w:tcPr>
            <w:tcW w:w="8068" w:type="dxa"/>
          </w:tcPr>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施工期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项目位于</w:t>
            </w:r>
            <w:r>
              <w:rPr>
                <w:rFonts w:hint="eastAsia" w:ascii="Times New Roman" w:hAnsi="Times New Roman" w:eastAsia="宋体" w:cs="Times New Roman"/>
                <w:color w:val="auto"/>
                <w:sz w:val="24"/>
                <w:szCs w:val="24"/>
                <w:lang w:val="en-US" w:eastAsia="zh-CN"/>
              </w:rPr>
              <w:t>洱源</w:t>
            </w:r>
            <w:r>
              <w:rPr>
                <w:rFonts w:hint="default" w:ascii="Times New Roman" w:hAnsi="Times New Roman" w:eastAsia="宋体" w:cs="Times New Roman"/>
                <w:color w:val="auto"/>
                <w:sz w:val="24"/>
                <w:szCs w:val="24"/>
                <w:lang w:val="en-US" w:eastAsia="zh-CN"/>
              </w:rPr>
              <w:t>县</w:t>
            </w:r>
            <w:r>
              <w:rPr>
                <w:rFonts w:hint="eastAsia" w:ascii="Times New Roman" w:hAnsi="Times New Roman" w:eastAsia="宋体" w:cs="Times New Roman"/>
                <w:color w:val="auto"/>
                <w:sz w:val="24"/>
                <w:szCs w:val="24"/>
                <w:lang w:val="en-US" w:eastAsia="zh-CN"/>
              </w:rPr>
              <w:t>牛街乡太平</w:t>
            </w:r>
            <w:r>
              <w:rPr>
                <w:rFonts w:hint="default" w:ascii="Times New Roman" w:hAnsi="Times New Roman" w:eastAsia="宋体" w:cs="Times New Roman"/>
                <w:color w:val="auto"/>
                <w:sz w:val="24"/>
                <w:szCs w:val="24"/>
                <w:lang w:val="en-US" w:eastAsia="zh-CN"/>
              </w:rPr>
              <w:t>村，</w:t>
            </w:r>
            <w:r>
              <w:rPr>
                <w:rFonts w:hint="eastAsia" w:ascii="Times New Roman" w:hAnsi="Times New Roman" w:eastAsia="宋体" w:cs="Times New Roman"/>
                <w:color w:val="auto"/>
                <w:sz w:val="24"/>
                <w:szCs w:val="24"/>
                <w:lang w:val="en-US" w:eastAsia="zh-CN"/>
              </w:rPr>
              <w:t>该项目用地为工业用地</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lang w:val="en-US" w:eastAsia="zh-CN"/>
              </w:rPr>
              <w:t>进行彩钢瓦厂房的建设、生产设备的安装及配置相应环保设施方可经营。项目</w:t>
            </w:r>
            <w:r>
              <w:rPr>
                <w:rFonts w:hint="eastAsia" w:ascii="Times New Roman" w:hAnsi="Times New Roman" w:eastAsia="宋体" w:cs="Times New Roman"/>
                <w:color w:val="auto"/>
                <w:sz w:val="24"/>
                <w:szCs w:val="24"/>
                <w:lang w:val="en-US" w:eastAsia="zh-CN"/>
              </w:rPr>
              <w:t>现已建成，</w:t>
            </w:r>
            <w:r>
              <w:rPr>
                <w:rFonts w:hint="default" w:ascii="Times New Roman" w:hAnsi="Times New Roman" w:eastAsia="宋体" w:cs="Times New Roman"/>
                <w:color w:val="auto"/>
                <w:sz w:val="24"/>
                <w:szCs w:val="24"/>
                <w:lang w:val="en-US" w:eastAsia="zh-CN"/>
              </w:rPr>
              <w:t>施工期的主要污染物是施工过程中产生的废水、废气、固废、噪声。</w:t>
            </w:r>
          </w:p>
          <w:p>
            <w:pPr>
              <w:bidi w:val="0"/>
              <w:jc w:val="center"/>
              <w:rPr>
                <w:rFonts w:hint="eastAsia"/>
                <w:color w:val="auto"/>
                <w:sz w:val="21"/>
                <w:lang w:val="en-US" w:eastAsia="zh-CN"/>
              </w:rPr>
            </w:pPr>
            <w:r>
              <w:rPr>
                <w:color w:val="auto"/>
                <w:sz w:val="21"/>
              </w:rPr>
              <mc:AlternateContent>
                <mc:Choice Requires="wpc">
                  <w:drawing>
                    <wp:inline distT="0" distB="0" distL="114300" distR="114300">
                      <wp:extent cx="5020945" cy="1381125"/>
                      <wp:effectExtent l="0" t="0" r="0" b="0"/>
                      <wp:docPr id="1" name="画布 1"/>
                      <wp:cNvGraphicFramePr/>
                      <a:graphic xmlns:a="http://schemas.openxmlformats.org/drawingml/2006/main">
                        <a:graphicData uri="http://schemas.microsoft.com/office/word/2010/wordprocessingCanvas">
                          <wpc:wpc>
                            <wpc:bg/>
                            <wpc:whole/>
                            <wps:wsp>
                              <wps:cNvPr id="2" name="文本框 2"/>
                              <wps:cNvSpPr txBox="1"/>
                              <wps:spPr>
                                <a:xfrm>
                                  <a:off x="1115695" y="715645"/>
                                  <a:ext cx="2237105" cy="323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生产厂房建设、装修、设备安装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肘形连接符 5"/>
                              <wps:cNvCnPr>
                                <a:stCxn id="2" idx="0"/>
                              </wps:cNvCnPr>
                              <wps:spPr>
                                <a:xfrm rot="16200000">
                                  <a:off x="2188210" y="431165"/>
                                  <a:ext cx="330200" cy="238125"/>
                                </a:xfrm>
                                <a:prstGeom prst="bentConnector3">
                                  <a:avLst>
                                    <a:gd name="adj1" fmla="val 49904"/>
                                  </a:avLst>
                                </a:prstGeom>
                                <a:ln>
                                  <a:prstDash val="sysDot"/>
                                  <a:tailEnd type="arrow" w="med" len="med"/>
                                </a:ln>
                              </wps:spPr>
                              <wps:style>
                                <a:lnRef idx="2">
                                  <a:prstClr val="black"/>
                                </a:lnRef>
                                <a:fillRef idx="0">
                                  <a:srgbClr val="FFFFFF"/>
                                </a:fillRef>
                                <a:effectRef idx="0">
                                  <a:srgbClr val="FFFFFF"/>
                                </a:effectRef>
                                <a:fontRef idx="minor">
                                  <a:schemeClr val="tx1"/>
                                </a:fontRef>
                              </wps:style>
                              <wps:bodyPr/>
                            </wps:wsp>
                            <wps:wsp>
                              <wps:cNvPr id="6" name="文本框 6"/>
                              <wps:cNvSpPr txBox="1"/>
                              <wps:spPr>
                                <a:xfrm>
                                  <a:off x="1755140" y="109220"/>
                                  <a:ext cx="140906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5"/>
                                        <w:szCs w:val="15"/>
                                        <w:lang w:eastAsia="zh-CN"/>
                                      </w:rPr>
                                    </w:pPr>
                                    <w:r>
                                      <w:rPr>
                                        <w:rFonts w:hint="eastAsia"/>
                                        <w:sz w:val="15"/>
                                        <w:szCs w:val="15"/>
                                        <w:lang w:eastAsia="zh-CN"/>
                                      </w:rPr>
                                      <w:t>废气、废水、噪声、固废</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108.75pt;width:395.35pt;" coordsize="5020945,1381125" editas="canvas" o:gfxdata="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">
                      <o:lock v:ext="edit" aspectratio="f"/>
                      <v:shape id="_x0000_s1026" o:spid="_x0000_s1026" style="position:absolute;left:0;top:0;height:1381125;width:5020945;" filled="f" stroked="f" coordsize="21600,21600" o:gfxdata="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">
                        <v:fill on="f" focussize="0,0"/>
                        <v:stroke on="f"/>
                        <v:imagedata o:title=""/>
                        <o:lock v:ext="edit" aspectratio="f"/>
                      </v:shape>
                      <v:shape id="_x0000_s1026" o:spid="_x0000_s1026" o:spt="202" type="#_x0000_t202" style="position:absolute;left:1115695;top:715645;height:323850;width:2237105;" fillcolor="#FFFFFF [3201]" filled="t" stroked="t" coordsize="21600,21600" o:gfxdata="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zlxPH0wAAAAUBAAAPAAAAAAAAAAEAIAAAACIA&#10;AABkcnMvZG93bnJldi54bWxQSwECFAAUAAAACACHTuJAESezFUcCAAB0BAAADgAAAAAAAAABACAA&#10;AAAiAQAAZHJzL2Uyb0RvYy54bWxQSwUGAAAAAAYABgBZAQAA2w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生产厂房建设、装修、设备安装</w:t>
                              </w:r>
                            </w:p>
                          </w:txbxContent>
                        </v:textbox>
                      </v:shape>
                      <v:shape id="_x0000_s1026" o:spid="_x0000_s1026" o:spt="34" type="#_x0000_t34" style="position:absolute;left:2188210;top:431165;height:238125;width:330200;rotation:-5898240f;" filled="f" stroked="t" coordsize="21600,21600" o:gfxdata="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8MbU/WAAAABQEAAA8AAAAAAAAAAQAgAAAAIgAAAGRycy9kb3ducmV2LnhtbFBLAQIUABQA&#10;AAAIAIdO4kDNof/KKwIAAAoEAAAOAAAAAAAAAAEAIAAAACUBAABkcnMvZTJvRG9jLnhtbFBLBQYA&#10;AAAABgAGAFkBAADCBQAAAAA=&#10;" adj="10779">
                        <v:fill on="f" focussize="0,0"/>
                        <v:stroke weight="1pt" color="#000000" miterlimit="8" joinstyle="miter" dashstyle="1 1" endarrow="open"/>
                        <v:imagedata o:title=""/>
                        <o:lock v:ext="edit" aspectratio="f"/>
                      </v:shape>
                      <v:shape id="_x0000_s1026" o:spid="_x0000_s1026" o:spt="202" type="#_x0000_t202" style="position:absolute;left:1755140;top:109220;height:257175;width:1409065;" fillcolor="#FFFFFF [3201]" filled="t" stroked="f" coordsize="21600,21600" o:gfxdata="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Jt1kU0QAAAAUBAAAPAAAAAAAAAAEAIAAAACIAAABkcnMvZG93bnJldi54&#10;bWxQSwECFAAUAAAACACHTuJAvmBViDoCAABMBAAADgAAAAAAAAABACAAAAAgAQAAZHJzL2Uyb0Rv&#10;Yy54bWxQSwUGAAAAAAYABgBZAQAAzAUAAAAA&#10;">
                        <v:fill on="t" focussize="0,0"/>
                        <v:stroke on="f" weight="0.5pt"/>
                        <v:imagedata o:title=""/>
                        <o:lock v:ext="edit" aspectratio="f"/>
                        <v:textbox>
                          <w:txbxContent>
                            <w:p>
                              <w:pPr>
                                <w:rPr>
                                  <w:rFonts w:hint="eastAsia" w:eastAsiaTheme="minorEastAsia"/>
                                  <w:sz w:val="15"/>
                                  <w:szCs w:val="15"/>
                                  <w:lang w:eastAsia="zh-CN"/>
                                </w:rPr>
                              </w:pPr>
                              <w:r>
                                <w:rPr>
                                  <w:rFonts w:hint="eastAsia"/>
                                  <w:sz w:val="15"/>
                                  <w:szCs w:val="15"/>
                                  <w:lang w:eastAsia="zh-CN"/>
                                </w:rPr>
                                <w:t>废气、废水、噪声、固废</w:t>
                              </w:r>
                            </w:p>
                          </w:txbxContent>
                        </v:textbox>
                      </v:shape>
                      <w10:wrap type="none"/>
                      <w10:anchorlock/>
                    </v:group>
                  </w:pict>
                </mc:Fallback>
              </mc:AlternateContent>
            </w:r>
            <w:r>
              <w:rPr>
                <w:rFonts w:hint="eastAsia"/>
                <w:b/>
                <w:bCs/>
                <w:color w:val="auto"/>
                <w:sz w:val="21"/>
                <w:lang w:eastAsia="zh-CN"/>
              </w:rPr>
              <w:t>图</w:t>
            </w:r>
            <w:r>
              <w:rPr>
                <w:rFonts w:hint="eastAsia"/>
                <w:b/>
                <w:bCs/>
                <w:color w:val="auto"/>
                <w:sz w:val="21"/>
                <w:lang w:val="en-US" w:eastAsia="zh-CN"/>
              </w:rPr>
              <w:t>2-2  施工期工艺流程及污染源节点图</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hint="eastAsia"/>
                <w:color w:val="auto"/>
                <w:sz w:val="24"/>
                <w:szCs w:val="24"/>
                <w:lang w:val="en-US" w:eastAsia="zh-CN"/>
              </w:rPr>
            </w:pPr>
            <w:r>
              <w:rPr>
                <w:rFonts w:hint="eastAsia"/>
                <w:color w:val="auto"/>
                <w:sz w:val="24"/>
                <w:szCs w:val="24"/>
                <w:lang w:val="en-US" w:eastAsia="zh-CN"/>
              </w:rPr>
              <w:t>项目运营期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color w:val="auto"/>
                <w:sz w:val="24"/>
                <w:szCs w:val="24"/>
                <w:lang w:val="en-US" w:eastAsia="zh-CN"/>
              </w:rPr>
              <w:t>项目运营期工艺流程及产排污节点图见下图；</w:t>
            </w:r>
          </w:p>
          <w:p>
            <w:pPr>
              <w:bidi w:val="0"/>
              <w:jc w:val="center"/>
              <w:rPr>
                <w:rFonts w:hint="eastAsia"/>
                <w:b/>
                <w:bCs/>
                <w:color w:val="auto"/>
                <w:lang w:val="en-US" w:eastAsia="zh-CN"/>
              </w:rPr>
            </w:pPr>
            <w:r>
              <w:rPr>
                <w:color w:val="auto"/>
              </w:rPr>
              <mc:AlternateContent>
                <mc:Choice Requires="wpc">
                  <w:drawing>
                    <wp:inline distT="0" distB="0" distL="114300" distR="114300">
                      <wp:extent cx="4979035" cy="3474720"/>
                      <wp:effectExtent l="0" t="0" r="12065" b="0"/>
                      <wp:docPr id="8" name="画布 8"/>
                      <wp:cNvGraphicFramePr/>
                      <a:graphic xmlns:a="http://schemas.openxmlformats.org/drawingml/2006/main">
                        <a:graphicData uri="http://schemas.microsoft.com/office/word/2010/wordprocessingCanvas">
                          <wpc:wpc>
                            <wpc:bg/>
                            <wpc:whole/>
                            <wps:wsp>
                              <wps:cNvPr id="9" name="文本框 7"/>
                              <wps:cNvSpPr txBox="1"/>
                              <wps:spPr>
                                <a:xfrm>
                                  <a:off x="160655" y="913130"/>
                                  <a:ext cx="753745" cy="2781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床单被罩</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8"/>
                              <wps:cNvSpPr txBox="1"/>
                              <wps:spPr>
                                <a:xfrm>
                                  <a:off x="1223645" y="1564005"/>
                                  <a:ext cx="484505" cy="2616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洗涤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9"/>
                              <wps:cNvSpPr txBox="1"/>
                              <wps:spPr>
                                <a:xfrm>
                                  <a:off x="2279650" y="1570355"/>
                                  <a:ext cx="484505" cy="2552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烘干</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0"/>
                              <wps:cNvSpPr txBox="1"/>
                              <wps:spPr>
                                <a:xfrm>
                                  <a:off x="3223260" y="1564005"/>
                                  <a:ext cx="491490" cy="2686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熨烫</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1"/>
                              <wps:cNvSpPr txBox="1"/>
                              <wps:spPr>
                                <a:xfrm>
                                  <a:off x="4120515" y="1555750"/>
                                  <a:ext cx="77724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打包出货</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2"/>
                              <wps:cNvSpPr txBox="1"/>
                              <wps:spPr>
                                <a:xfrm>
                                  <a:off x="278130" y="1548130"/>
                                  <a:ext cx="508000" cy="2940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分拣</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4"/>
                              <wps:cNvSpPr txBox="1"/>
                              <wps:spPr>
                                <a:xfrm>
                                  <a:off x="1514475" y="344805"/>
                                  <a:ext cx="777240" cy="264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软水装置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文本框 15"/>
                              <wps:cNvSpPr txBox="1"/>
                              <wps:spPr>
                                <a:xfrm>
                                  <a:off x="2048510" y="960755"/>
                                  <a:ext cx="92837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生物质锅炉</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文本框 16"/>
                              <wps:cNvSpPr txBox="1"/>
                              <wps:spPr>
                                <a:xfrm>
                                  <a:off x="3048000" y="536575"/>
                                  <a:ext cx="936625" cy="2774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水膜除尘器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17"/>
                              <wps:cNvSpPr txBox="1"/>
                              <wps:spPr>
                                <a:xfrm>
                                  <a:off x="3605530" y="208915"/>
                                  <a:ext cx="762000" cy="2489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30m高排气筒</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8"/>
                              <wps:cNvSpPr txBox="1"/>
                              <wps:spPr>
                                <a:xfrm>
                                  <a:off x="1175385" y="2305050"/>
                                  <a:ext cx="753110" cy="495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生产区化粪池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20"/>
                              <wps:cNvSpPr txBox="1"/>
                              <wps:spPr>
                                <a:xfrm>
                                  <a:off x="3002280" y="2380615"/>
                                  <a:ext cx="1007745" cy="3187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市政污水管网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21"/>
                              <wps:cNvSpPr txBox="1"/>
                              <wps:spPr>
                                <a:xfrm>
                                  <a:off x="1477645" y="3034030"/>
                                  <a:ext cx="793750" cy="273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生活污水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3002280" y="3032125"/>
                                  <a:ext cx="1009015" cy="269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生活区化粪池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 name="直接箭头连接符 25"/>
                              <wps:cNvCnPr>
                                <a:stCxn id="7" idx="2"/>
                                <a:endCxn id="12" idx="0"/>
                              </wps:cNvCnPr>
                              <wps:spPr>
                                <a:xfrm flipH="1">
                                  <a:off x="532130" y="1191260"/>
                                  <a:ext cx="5715" cy="3568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6" name="直接箭头连接符 26"/>
                              <wps:cNvCnPr>
                                <a:stCxn id="12" idx="3"/>
                                <a:endCxn id="8" idx="1"/>
                              </wps:cNvCnPr>
                              <wps:spPr>
                                <a:xfrm flipV="1">
                                  <a:off x="786130" y="1694815"/>
                                  <a:ext cx="437515"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7" name="直接箭头连接符 27"/>
                              <wps:cNvCnPr>
                                <a:stCxn id="8" idx="3"/>
                                <a:endCxn id="9" idx="1"/>
                              </wps:cNvCnPr>
                              <wps:spPr>
                                <a:xfrm>
                                  <a:off x="1708150" y="1694815"/>
                                  <a:ext cx="571500" cy="82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8" name="直接箭头连接符 28"/>
                              <wps:cNvCnPr>
                                <a:stCxn id="9" idx="3"/>
                                <a:endCxn id="10" idx="1"/>
                              </wps:cNvCnPr>
                              <wps:spPr>
                                <a:xfrm flipV="1">
                                  <a:off x="2764155" y="1698625"/>
                                  <a:ext cx="459105"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9" name="直接箭头连接符 29"/>
                              <wps:cNvCnPr>
                                <a:stCxn id="10" idx="3"/>
                                <a:endCxn id="11" idx="1"/>
                              </wps:cNvCnPr>
                              <wps:spPr>
                                <a:xfrm>
                                  <a:off x="1708150" y="1694815"/>
                                  <a:ext cx="571500" cy="3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33" name="文本框 33"/>
                              <wps:cNvSpPr txBox="1"/>
                              <wps:spPr>
                                <a:xfrm>
                                  <a:off x="1986915" y="24130"/>
                                  <a:ext cx="485140" cy="2724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5"/>
                                        <w:szCs w:val="15"/>
                                        <w:lang w:eastAsia="zh-CN"/>
                                      </w:rPr>
                                    </w:pPr>
                                    <w:r>
                                      <w:rPr>
                                        <w:rFonts w:hint="eastAsia"/>
                                        <w:sz w:val="15"/>
                                        <w:szCs w:val="15"/>
                                        <w:lang w:eastAsia="zh-CN"/>
                                      </w:rPr>
                                      <w:t>自来水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直接箭头连接符 34"/>
                              <wps:cNvCnPr>
                                <a:endCxn id="14" idx="0"/>
                              </wps:cNvCnPr>
                              <wps:spPr>
                                <a:xfrm>
                                  <a:off x="1895475" y="21590"/>
                                  <a:ext cx="7620" cy="3232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36" name="直接箭头连接符 36"/>
                              <wps:cNvCnPr>
                                <a:stCxn id="15" idx="2"/>
                                <a:endCxn id="9" idx="0"/>
                              </wps:cNvCnPr>
                              <wps:spPr>
                                <a:xfrm>
                                  <a:off x="2512695" y="1246505"/>
                                  <a:ext cx="9525" cy="3333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38" name="直接箭头连接符 38"/>
                              <wps:cNvCnPr>
                                <a:stCxn id="16" idx="0"/>
                              </wps:cNvCnPr>
                              <wps:spPr>
                                <a:xfrm flipV="1">
                                  <a:off x="3492500" y="241935"/>
                                  <a:ext cx="3810" cy="294640"/>
                                </a:xfrm>
                                <a:prstGeom prst="straightConnector1">
                                  <a:avLst/>
                                </a:prstGeom>
                                <a:ln>
                                  <a:prstDash val="sysDot"/>
                                  <a:tailEnd type="arrow" w="med" len="med"/>
                                </a:ln>
                              </wps:spPr>
                              <wps:style>
                                <a:lnRef idx="1">
                                  <a:schemeClr val="dk1"/>
                                </a:lnRef>
                                <a:fillRef idx="0">
                                  <a:schemeClr val="dk1"/>
                                </a:fillRef>
                                <a:effectRef idx="0">
                                  <a:schemeClr val="dk1"/>
                                </a:effectRef>
                                <a:fontRef idx="minor">
                                  <a:schemeClr val="tx1"/>
                                </a:fontRef>
                              </wps:style>
                              <wps:bodyPr/>
                            </wps:wsp>
                            <wps:wsp>
                              <wps:cNvPr id="39" name="直接箭头连接符 39"/>
                              <wps:cNvCnPr>
                                <a:stCxn id="8" idx="2"/>
                                <a:endCxn id="18" idx="0"/>
                              </wps:cNvCnPr>
                              <wps:spPr>
                                <a:xfrm>
                                  <a:off x="1466215" y="1825625"/>
                                  <a:ext cx="6985" cy="4794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6" name="肘形连接符 46"/>
                              <wps:cNvCnPr/>
                              <wps:spPr>
                                <a:xfrm rot="16200000">
                                  <a:off x="1592580" y="1371600"/>
                                  <a:ext cx="190500" cy="182880"/>
                                </a:xfrm>
                                <a:prstGeom prst="bentConnector3">
                                  <a:avLst>
                                    <a:gd name="adj1" fmla="val 49667"/>
                                  </a:avLst>
                                </a:prstGeom>
                                <a:ln>
                                  <a:prstDash val="sysDot"/>
                                  <a:tailEnd type="arrow" w="med" len="med"/>
                                </a:ln>
                              </wps:spPr>
                              <wps:style>
                                <a:lnRef idx="1">
                                  <a:schemeClr val="dk1"/>
                                </a:lnRef>
                                <a:fillRef idx="0">
                                  <a:schemeClr val="dk1"/>
                                </a:fillRef>
                                <a:effectRef idx="0">
                                  <a:schemeClr val="dk1"/>
                                </a:effectRef>
                                <a:fontRef idx="minor">
                                  <a:schemeClr val="tx1"/>
                                </a:fontRef>
                              </wps:style>
                              <wps:bodyPr/>
                            </wps:wsp>
                            <wps:wsp>
                              <wps:cNvPr id="47" name="文本框 47"/>
                              <wps:cNvSpPr txBox="1"/>
                              <wps:spPr>
                                <a:xfrm>
                                  <a:off x="1811020" y="1304925"/>
                                  <a:ext cx="365125" cy="231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3"/>
                                        <w:szCs w:val="13"/>
                                        <w:lang w:eastAsia="zh-CN"/>
                                      </w:rPr>
                                    </w:pPr>
                                    <w:r>
                                      <w:rPr>
                                        <w:rFonts w:hint="eastAsia"/>
                                        <w:sz w:val="13"/>
                                        <w:szCs w:val="13"/>
                                        <w:lang w:eastAsia="zh-CN"/>
                                      </w:rPr>
                                      <w:t>噪声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肘形连接符 48"/>
                              <wps:cNvCnPr>
                                <a:endCxn id="49" idx="1"/>
                              </wps:cNvCnPr>
                              <wps:spPr>
                                <a:xfrm rot="16200000">
                                  <a:off x="2661920" y="1405890"/>
                                  <a:ext cx="198120" cy="154305"/>
                                </a:xfrm>
                                <a:prstGeom prst="bentConnector2">
                                  <a:avLst/>
                                </a:prstGeom>
                                <a:ln>
                                  <a:prstDash val="sysDot"/>
                                  <a:tailEnd type="arrow" w="med" len="med"/>
                                </a:ln>
                              </wps:spPr>
                              <wps:style>
                                <a:lnRef idx="1">
                                  <a:schemeClr val="dk1"/>
                                </a:lnRef>
                                <a:fillRef idx="0">
                                  <a:schemeClr val="dk1"/>
                                </a:fillRef>
                                <a:effectRef idx="0">
                                  <a:schemeClr val="dk1"/>
                                </a:effectRef>
                                <a:fontRef idx="minor">
                                  <a:schemeClr val="tx1"/>
                                </a:fontRef>
                              </wps:style>
                              <wps:bodyPr/>
                            </wps:wsp>
                            <wps:wsp>
                              <wps:cNvPr id="49" name="文本框 49"/>
                              <wps:cNvSpPr txBox="1"/>
                              <wps:spPr>
                                <a:xfrm>
                                  <a:off x="2838450" y="1267460"/>
                                  <a:ext cx="365125" cy="231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3"/>
                                        <w:szCs w:val="13"/>
                                        <w:lang w:eastAsia="zh-CN"/>
                                      </w:rPr>
                                    </w:pPr>
                                    <w:r>
                                      <w:rPr>
                                        <w:rFonts w:hint="eastAsia"/>
                                        <w:sz w:val="13"/>
                                        <w:szCs w:val="13"/>
                                        <w:lang w:eastAsia="zh-CN"/>
                                      </w:rPr>
                                      <w:t>噪声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0" name="肘形连接符 50"/>
                              <wps:cNvCnPr/>
                              <wps:spPr>
                                <a:xfrm flipV="1">
                                  <a:off x="1918970" y="2218055"/>
                                  <a:ext cx="391160" cy="102870"/>
                                </a:xfrm>
                                <a:prstGeom prst="bentConnector2">
                                  <a:avLst/>
                                </a:prstGeom>
                                <a:ln>
                                  <a:prstDash val="sysDot"/>
                                  <a:tailEnd type="arrow" w="med" len="med"/>
                                </a:ln>
                              </wps:spPr>
                              <wps:style>
                                <a:lnRef idx="1">
                                  <a:schemeClr val="dk1"/>
                                </a:lnRef>
                                <a:fillRef idx="0">
                                  <a:schemeClr val="dk1"/>
                                </a:fillRef>
                                <a:effectRef idx="0">
                                  <a:schemeClr val="dk1"/>
                                </a:effectRef>
                                <a:fontRef idx="minor">
                                  <a:schemeClr val="tx1"/>
                                </a:fontRef>
                              </wps:style>
                              <wps:bodyPr/>
                            </wps:wsp>
                            <wps:wsp>
                              <wps:cNvPr id="51" name="文本框 51"/>
                              <wps:cNvSpPr txBox="1"/>
                              <wps:spPr>
                                <a:xfrm>
                                  <a:off x="1980565" y="1979930"/>
                                  <a:ext cx="357505" cy="262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3"/>
                                        <w:szCs w:val="13"/>
                                        <w:lang w:eastAsia="zh-CN"/>
                                      </w:rPr>
                                    </w:pPr>
                                    <w:r>
                                      <w:rPr>
                                        <w:rFonts w:hint="eastAsia"/>
                                        <w:sz w:val="13"/>
                                        <w:szCs w:val="13"/>
                                        <w:lang w:eastAsia="zh-CN"/>
                                      </w:rPr>
                                      <w:t>废气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肘形连接符 52"/>
                              <wps:cNvCnPr/>
                              <wps:spPr>
                                <a:xfrm rot="10800000" flipV="1">
                                  <a:off x="821690" y="2455545"/>
                                  <a:ext cx="372110" cy="60325"/>
                                </a:xfrm>
                                <a:prstGeom prst="bentConnector3">
                                  <a:avLst>
                                    <a:gd name="adj1" fmla="val 49829"/>
                                  </a:avLst>
                                </a:prstGeom>
                                <a:ln>
                                  <a:prstDash val="sysDot"/>
                                  <a:tailEnd type="arrow" w="med" len="med"/>
                                </a:ln>
                              </wps:spPr>
                              <wps:style>
                                <a:lnRef idx="1">
                                  <a:schemeClr val="dk1"/>
                                </a:lnRef>
                                <a:fillRef idx="0">
                                  <a:schemeClr val="dk1"/>
                                </a:fillRef>
                                <a:effectRef idx="0">
                                  <a:schemeClr val="dk1"/>
                                </a:effectRef>
                                <a:fontRef idx="minor">
                                  <a:schemeClr val="tx1"/>
                                </a:fontRef>
                              </wps:style>
                              <wps:bodyPr/>
                            </wps:wsp>
                            <wps:wsp>
                              <wps:cNvPr id="53" name="文本框 53"/>
                              <wps:cNvSpPr txBox="1"/>
                              <wps:spPr>
                                <a:xfrm>
                                  <a:off x="432435" y="2375535"/>
                                  <a:ext cx="365125" cy="2489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3"/>
                                        <w:szCs w:val="13"/>
                                        <w:lang w:eastAsia="zh-CN"/>
                                      </w:rPr>
                                    </w:pPr>
                                    <w:r>
                                      <w:rPr>
                                        <w:rFonts w:hint="eastAsia"/>
                                        <w:sz w:val="13"/>
                                        <w:szCs w:val="13"/>
                                        <w:lang w:eastAsia="zh-CN"/>
                                      </w:rPr>
                                      <w:t>污泥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 name="肘形连接符 55"/>
                              <wps:cNvCnPr>
                                <a:stCxn id="10" idx="0"/>
                                <a:endCxn id="49" idx="3"/>
                              </wps:cNvCnPr>
                              <wps:spPr>
                                <a:xfrm rot="16200000" flipV="1">
                                  <a:off x="3246120" y="1341120"/>
                                  <a:ext cx="180340" cy="265430"/>
                                </a:xfrm>
                                <a:prstGeom prst="bentConnector2">
                                  <a:avLst/>
                                </a:prstGeom>
                                <a:ln>
                                  <a:prstDash val="sysDot"/>
                                  <a:tailEnd type="arrow" w="med" len="med"/>
                                </a:ln>
                              </wps:spPr>
                              <wps:style>
                                <a:lnRef idx="1">
                                  <a:schemeClr val="dk1"/>
                                </a:lnRef>
                                <a:fillRef idx="0">
                                  <a:schemeClr val="dk1"/>
                                </a:fillRef>
                                <a:effectRef idx="0">
                                  <a:schemeClr val="dk1"/>
                                </a:effectRef>
                                <a:fontRef idx="minor">
                                  <a:schemeClr val="tx1"/>
                                </a:fontRef>
                              </wps:style>
                              <wps:bodyPr/>
                            </wps:wsp>
                            <wps:wsp>
                              <wps:cNvPr id="177" name="肘形连接符 177"/>
                              <wps:cNvCnPr>
                                <a:stCxn id="14" idx="2"/>
                                <a:endCxn id="15" idx="0"/>
                              </wps:cNvCnPr>
                              <wps:spPr>
                                <a:xfrm rot="5400000" flipV="1">
                                  <a:off x="2032000" y="480060"/>
                                  <a:ext cx="351790" cy="609600"/>
                                </a:xfrm>
                                <a:prstGeom prst="bentConnector3">
                                  <a:avLst>
                                    <a:gd name="adj1" fmla="val 50000"/>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79" name="肘形连接符 179"/>
                              <wps:cNvCnPr>
                                <a:endCxn id="16" idx="1"/>
                              </wps:cNvCnPr>
                              <wps:spPr>
                                <a:xfrm flipV="1">
                                  <a:off x="2743200" y="675640"/>
                                  <a:ext cx="304800" cy="294005"/>
                                </a:xfrm>
                                <a:prstGeom prst="bentConnector3">
                                  <a:avLst>
                                    <a:gd name="adj1" fmla="val 50208"/>
                                  </a:avLst>
                                </a:prstGeom>
                                <a:ln>
                                  <a:prstDash val="sysDot"/>
                                  <a:tailEnd type="arrow" w="med" len="med"/>
                                </a:ln>
                              </wps:spPr>
                              <wps:style>
                                <a:lnRef idx="1">
                                  <a:schemeClr val="dk1"/>
                                </a:lnRef>
                                <a:fillRef idx="0">
                                  <a:schemeClr val="dk1"/>
                                </a:fillRef>
                                <a:effectRef idx="0">
                                  <a:schemeClr val="dk1"/>
                                </a:effectRef>
                                <a:fontRef idx="minor">
                                  <a:schemeClr val="tx1"/>
                                </a:fontRef>
                              </wps:style>
                              <wps:bodyPr/>
                            </wps:wsp>
                            <wps:wsp>
                              <wps:cNvPr id="180" name="肘形连接符 180"/>
                              <wps:cNvCnPr>
                                <a:stCxn id="15" idx="3"/>
                              </wps:cNvCnPr>
                              <wps:spPr>
                                <a:xfrm flipV="1">
                                  <a:off x="2976880" y="1064895"/>
                                  <a:ext cx="346075" cy="38735"/>
                                </a:xfrm>
                                <a:prstGeom prst="bentConnector3">
                                  <a:avLst>
                                    <a:gd name="adj1" fmla="val 50092"/>
                                  </a:avLst>
                                </a:prstGeom>
                                <a:ln>
                                  <a:prstDash val="sysDot"/>
                                  <a:tailEnd type="arrow" w="med" len="med"/>
                                </a:ln>
                              </wps:spPr>
                              <wps:style>
                                <a:lnRef idx="1">
                                  <a:schemeClr val="dk1"/>
                                </a:lnRef>
                                <a:fillRef idx="0">
                                  <a:schemeClr val="dk1"/>
                                </a:fillRef>
                                <a:effectRef idx="0">
                                  <a:schemeClr val="dk1"/>
                                </a:effectRef>
                                <a:fontRef idx="minor">
                                  <a:schemeClr val="tx1"/>
                                </a:fontRef>
                              </wps:style>
                              <wps:bodyPr/>
                            </wps:wsp>
                            <wps:wsp>
                              <wps:cNvPr id="227" name="文本框 227"/>
                              <wps:cNvSpPr txBox="1"/>
                              <wps:spPr>
                                <a:xfrm>
                                  <a:off x="3357245" y="949960"/>
                                  <a:ext cx="407035" cy="2489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15"/>
                                        <w:szCs w:val="15"/>
                                        <w:lang w:val="en-US" w:eastAsia="zh-CN"/>
                                      </w:rPr>
                                    </w:pPr>
                                    <w:r>
                                      <w:rPr>
                                        <w:rFonts w:hint="eastAsia"/>
                                        <w:sz w:val="15"/>
                                        <w:szCs w:val="15"/>
                                        <w:lang w:val="en-US" w:eastAsia="zh-CN"/>
                                      </w:rPr>
                                      <w:t>固废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直接箭头连接符 32"/>
                              <wps:cNvCnPr>
                                <a:stCxn id="12" idx="3"/>
                                <a:endCxn id="13" idx="1"/>
                              </wps:cNvCnPr>
                              <wps:spPr>
                                <a:xfrm>
                                  <a:off x="3714750" y="1698625"/>
                                  <a:ext cx="405765" cy="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45" name="肘形连接符 45"/>
                              <wps:cNvCnPr/>
                              <wps:spPr>
                                <a:xfrm rot="5400000">
                                  <a:off x="1329690" y="1496060"/>
                                  <a:ext cx="1028700" cy="542925"/>
                                </a:xfrm>
                                <a:prstGeom prst="bentConnector3">
                                  <a:avLst>
                                    <a:gd name="adj1" fmla="val 64043"/>
                                  </a:avLst>
                                </a:prstGeom>
                                <a:ln w="12700" cap="flat" cmpd="sng" algn="ctr">
                                  <a:solidFill>
                                    <a:schemeClr val="tx1"/>
                                  </a:solidFill>
                                  <a:prstDash val="dash"/>
                                  <a:miter lim="800000"/>
                                  <a:tailEnd type="arrow" w="med" len="med"/>
                                </a:ln>
                              </wps:spPr>
                              <wps:style>
                                <a:lnRef idx="0">
                                  <a:schemeClr val="accent1"/>
                                </a:lnRef>
                                <a:fillRef idx="0">
                                  <a:srgbClr val="FFFFFF"/>
                                </a:fillRef>
                                <a:effectRef idx="0">
                                  <a:srgbClr val="FFFFFF"/>
                                </a:effectRef>
                                <a:fontRef idx="minor">
                                  <a:schemeClr val="tx1"/>
                                </a:fontRef>
                              </wps:style>
                              <wps:bodyPr/>
                            </wps:wsp>
                            <wps:wsp>
                              <wps:cNvPr id="83" name="文本框 83"/>
                              <wps:cNvSpPr txBox="1"/>
                              <wps:spPr>
                                <a:xfrm>
                                  <a:off x="1592580" y="1913255"/>
                                  <a:ext cx="40068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3"/>
                                        <w:szCs w:val="13"/>
                                        <w:lang w:eastAsia="zh-CN"/>
                                      </w:rPr>
                                    </w:pPr>
                                    <w:r>
                                      <w:rPr>
                                        <w:rFonts w:hint="eastAsia"/>
                                        <w:sz w:val="13"/>
                                        <w:szCs w:val="13"/>
                                        <w:lang w:eastAsia="zh-CN"/>
                                      </w:rPr>
                                      <w:t>废水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1" name="直接箭头连接符 91"/>
                              <wps:cNvCnPr>
                                <a:stCxn id="22" idx="3"/>
                                <a:endCxn id="24" idx="1"/>
                              </wps:cNvCnPr>
                              <wps:spPr>
                                <a:xfrm flipV="1">
                                  <a:off x="2271395" y="3167380"/>
                                  <a:ext cx="730885" cy="317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42" name="直接箭头连接符 42"/>
                              <wps:cNvCnPr>
                                <a:stCxn id="24" idx="0"/>
                                <a:endCxn id="21" idx="2"/>
                              </wps:cNvCnPr>
                              <wps:spPr>
                                <a:xfrm flipH="1" flipV="1">
                                  <a:off x="3506470" y="2699385"/>
                                  <a:ext cx="635" cy="33274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129" name="直接箭头连接符 129"/>
                              <wps:cNvCnPr>
                                <a:stCxn id="19" idx="3"/>
                                <a:endCxn id="21" idx="1"/>
                              </wps:cNvCnPr>
                              <wps:spPr>
                                <a:xfrm flipV="1">
                                  <a:off x="1928495" y="2540000"/>
                                  <a:ext cx="1073785" cy="1270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c:wpc>
                        </a:graphicData>
                      </a:graphic>
                    </wp:inline>
                  </w:drawing>
                </mc:Choice>
                <mc:Fallback>
                  <w:pict>
                    <v:group id="_x0000_s1026" o:spid="_x0000_s1026" o:spt="203" style="height:273.6pt;width:392.05pt;" coordsize="4979035,3474720" editas="canvas" o:gfxdata="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">
                      <o:lock v:ext="edit" aspectratio="f"/>
                      <v:shape id="_x0000_s1026" o:spid="_x0000_s1026" style="position:absolute;left:0;top:0;height:3474720;width:4979035;" filled="f" stroked="f" coordsize="21600,21600" o:gfxdata="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kkmT1wAA&#10;AAUBAAAPAAAAAAAAAAEAIAAAACIAAABkcnMvZG93bnJldi54bWxQSwECFAAUAAAACACHTuJAo0ca&#10;UesLAAAbcgAADgAAAAAAAAABACAAAAAmAQAAZHJzL2Uyb0RvYy54bWxQSwUGAAAAAAYABgBZAQAA&#10;gw8AAAAA&#10;">
                        <v:fill on="f" focussize="0,0"/>
                        <v:stroke on="f"/>
                        <v:imagedata o:title=""/>
                        <o:lock v:ext="edit" aspectratio="f"/>
                      </v:shape>
                      <v:shape id="文本框 7" o:spid="_x0000_s1026" o:spt="202" type="#_x0000_t202" style="position:absolute;left:160655;top:913130;height:278130;width:753745;"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oqZQvUAAAABQEAAA8AAAAAAAAAAQAgAAAAIgAA&#10;AGRycy9kb3ducmV2LnhtbFBLAQIUABQAAAAIAIdO4kBv3xwxRQIAAHIEAAAOAAAAAAAAAAEAIAAA&#10;ACMBAABkcnMvZTJvRG9jLnhtbFBLBQYAAAAABgAGAFkBAADa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床单被罩</w:t>
                              </w:r>
                            </w:p>
                          </w:txbxContent>
                        </v:textbox>
                      </v:shape>
                      <v:shape id="文本框 8" o:spid="_x0000_s1026" o:spt="202" type="#_x0000_t202" style="position:absolute;left:1223645;top:1564005;height:261620;width:484505;"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KKmUL1AAAAAUBAAAPAAAAAAAAAAEAIAAA&#10;ACIAAABkcnMvZG93bnJldi54bWxQSwECFAAUAAAACACHTuJAxefTMUkCAAB1BAAADgAAAAAAAAAB&#10;ACAAAAAjAQAAZHJzL2Uyb0RvYy54bWxQSwUGAAAAAAYABgBZAQAA3g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洗涤</w:t>
                              </w:r>
                            </w:p>
                          </w:txbxContent>
                        </v:textbox>
                      </v:shape>
                      <v:shape id="文本框 9" o:spid="_x0000_s1026" o:spt="202" type="#_x0000_t202" style="position:absolute;left:2279650;top:1570355;height:255270;width:484505;"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KKmUL1AAAAAUBAAAPAAAAAAAAAAEAIAAA&#10;ACIAAABkcnMvZG93bnJldi54bWxQSwECFAAUAAAACACHTuJAoaYXM0kCAAB1BAAADgAAAAAAAAAB&#10;ACAAAAAjAQAAZHJzL2Uyb0RvYy54bWxQSwUGAAAAAAYABgBZAQAA3g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烘干</w:t>
                              </w:r>
                            </w:p>
                          </w:txbxContent>
                        </v:textbox>
                      </v:shape>
                      <v:shape id="文本框 10" o:spid="_x0000_s1026" o:spt="202" type="#_x0000_t202" style="position:absolute;left:3223260;top:1564005;height:268605;width:491490;"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oqZQvUAAAABQEAAA8AAAAAAAAAAQAgAAAA&#10;IgAAAGRycy9kb3ducmV2LnhtbFBLAQIUABQAAAAIAIdO4kA7pOQOSAIAAHYEAAAOAAAAAAAAAAEA&#10;IAAAACMBAABkcnMvZTJvRG9jLnhtbFBLBQYAAAAABgAGAFkBAADd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熨烫</w:t>
                              </w:r>
                            </w:p>
                          </w:txbxContent>
                        </v:textbox>
                      </v:shape>
                      <v:shape id="文本框 11" o:spid="_x0000_s1026" o:spt="202" type="#_x0000_t202" style="position:absolute;left:4120515;top:1555750;height:285750;width:777240;"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oqZQvUAAAABQEAAA8AAAAAAAAAAQAgAAAAIgAA&#10;AGRycy9kb3ducmV2LnhtbFBLAQIUABQAAAAIAIdO4kCbMFV4RQIAAHYEAAAOAAAAAAAAAAEAIAAA&#10;ACMBAABkcnMvZTJvRG9jLnhtbFBLBQYAAAAABgAGAFkBAADa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打包出货</w:t>
                              </w:r>
                            </w:p>
                          </w:txbxContent>
                        </v:textbox>
                      </v:shape>
                      <v:shape id="文本框 12" o:spid="_x0000_s1026" o:spt="202" type="#_x0000_t202" style="position:absolute;left:278130;top:1548130;height:294005;width:508000;"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oqZQvUAAAABQEAAA8AAAAAAAAAAQAgAAAAIgAA&#10;AGRycy9kb3ducmV2LnhtbFBLAQIUABQAAAAIAIdO4kAvHmXvRQIAAHUEAAAOAAAAAAAAAAEAIAAA&#10;ACMBAABkcnMvZTJvRG9jLnhtbFBLBQYAAAAABgAGAFkBAADa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分拣</w:t>
                              </w:r>
                            </w:p>
                          </w:txbxContent>
                        </v:textbox>
                      </v:shape>
                      <v:shape id="文本框 14" o:spid="_x0000_s1026" o:spt="202" type="#_x0000_t202" style="position:absolute;left:1514475;top:344805;height:264160;width:777240;"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KKmUL1AAAAAUBAAAPAAAAAAAAAAEAIAAA&#10;ACIAAABkcnMvZG93bnJldi54bWxQSwECFAAUAAAACACHTuJAKDjuwkkCAAB1BAAADgAAAAAAAAAB&#10;ACAAAAAjAQAAZHJzL2Uyb0RvYy54bWxQSwUGAAAAAAYABgBZAQAA3g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软水装置</w:t>
                              </w:r>
                            </w:p>
                          </w:txbxContent>
                        </v:textbox>
                      </v:shape>
                      <v:shape id="文本框 15" o:spid="_x0000_s1026" o:spt="202" type="#_x0000_t202" style="position:absolute;left:2048510;top:960755;height:285750;width:928370;"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iplC9QAAAAFAQAADwAAAAAAAAABACAA&#10;AAAiAAAAZHJzL2Rvd25yZXYueG1sUEsBAhQAFAAAAAgAh07iQL7Q62RKAgAAdQQAAA4AAAAAAAAA&#10;AQAgAAAAIwEAAGRycy9lMm9Eb2MueG1sUEsFBgAAAAAGAAYAWQEAAN8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生物质锅炉</w:t>
                              </w:r>
                            </w:p>
                          </w:txbxContent>
                        </v:textbox>
                      </v:shape>
                      <v:shape id="文本框 16" o:spid="_x0000_s1026" o:spt="202" type="#_x0000_t202" style="position:absolute;left:3048000;top:536575;height:277495;width:936625;"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oqZQvUAAAABQEAAA8AAAAAAAAAAQAg&#10;AAAAIgAAAGRycy9kb3ducmV2LnhtbFBLAQIUABQAAAAIAIdO4kDNIYzjSwIAAHUEAAAOAAAAAAAA&#10;AAEAIAAAACMBAABkcnMvZTJvRG9jLnhtbFBLBQYAAAAABgAGAFkBAADg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水膜除尘器</w:t>
                              </w:r>
                            </w:p>
                          </w:txbxContent>
                        </v:textbox>
                      </v:shape>
                      <v:shape id="文本框 17" o:spid="_x0000_s1026" o:spt="202" type="#_x0000_t202" style="position:absolute;left:3605530;top:208915;height:248920;width:762000;" fillcolor="#FFFFFF [3201]" filled="t" stroked="f" coordsize="21600,21600" o:gfxdata="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AKL9jTAAAABQEAAA8AAAAAAAAAAQAgAAAAIgAAAGRycy9k&#10;b3ducmV2LnhtbFBLAQIUABQAAAAIAIdO4kCpf22YQAIAAE0EAAAOAAAAAAAAAAEAIAAAACIBAABk&#10;cnMvZTJvRG9jLnhtbFBLBQYAAAAABgAGAFkBAADUBQ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30m高排气筒</w:t>
                              </w:r>
                            </w:p>
                          </w:txbxContent>
                        </v:textbox>
                      </v:shape>
                      <v:shape id="文本框 18" o:spid="_x0000_s1026" o:spt="202" type="#_x0000_t202" style="position:absolute;left:1175385;top:2305050;height:495300;width:753110;"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oqZQvUAAAABQEAAA8AAAAAAAAAAQAgAAAA&#10;IgAAAGRycy9kb3ducmV2LnhtbFBLAQIUABQAAAAIAIdO4kC/car4SAIAAHYEAAAOAAAAAAAAAAEA&#10;IAAAACMBAABkcnMvZTJvRG9jLnhtbFBLBQYAAAAABgAGAFkBAADd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生产区化粪池</w:t>
                              </w:r>
                            </w:p>
                          </w:txbxContent>
                        </v:textbox>
                      </v:shape>
                      <v:shape id="文本框 20" o:spid="_x0000_s1026" o:spt="202" type="#_x0000_t202" style="position:absolute;left:3002280;top:2380615;height:318770;width:1007745;"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KKmUL1AAAAAUBAAAPAAAAAAAAAAEAIAAA&#10;ACIAAABkcnMvZG93bnJldi54bWxQSwECFAAUAAAACACHTuJA7RFNSkkCAAB3BAAADgAAAAAAAAAB&#10;ACAAAAAjAQAAZHJzL2Uyb0RvYy54bWxQSwUGAAAAAAYABgBZAQAA3g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市政污水管网</w:t>
                              </w:r>
                            </w:p>
                          </w:txbxContent>
                        </v:textbox>
                      </v:shape>
                      <v:shape id="文本框 21" o:spid="_x0000_s1026" o:spt="202" type="#_x0000_t202" style="position:absolute;left:1477645;top:3034030;height:273050;width:793750;"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CiplC9QAAAAFAQAADwAAAAAAAAABACAAAAAi&#10;AAAAZHJzL2Rvd25yZXYueG1sUEsBAhQAFAAAAAgAh07iQPySZ3hHAgAAdgQAAA4AAAAAAAAAAQAg&#10;AAAAIwEAAGRycy9lMm9Eb2MueG1sUEsFBgAAAAAGAAYAWQEAANwFA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生活污水</w:t>
                              </w:r>
                            </w:p>
                          </w:txbxContent>
                        </v:textbox>
                      </v:shape>
                      <v:shape id="_x0000_s1026" o:spid="_x0000_s1026" o:spt="202" type="#_x0000_t202" style="position:absolute;left:3002280;top:3032125;height:269875;width:1009015;" fillcolor="#FFFFFF [3201]" filled="t" stroked="t" coordsize="21600,21600" o:gfxdata="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oqZQvUAAAABQEAAA8AAAAAAAAAAQAg&#10;AAAAIgAAAGRycy9kb3ducmV2LnhtbFBLAQIUABQAAAAIAIdO4kDMUzBQSwIAAHcEAAAOAAAAAAAA&#10;AAEAIAAAACMBAABkcnMvZTJvRG9jLnhtbFBLBQYAAAAABgAGAFkBAADgBQ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生活区化粪池</w:t>
                              </w:r>
                            </w:p>
                          </w:txbxContent>
                        </v:textbox>
                      </v:shape>
                      <v:shape id="_x0000_s1026" o:spid="_x0000_s1026" o:spt="32" type="#_x0000_t32" style="position:absolute;left:532130;top:1191260;flip:x;height:356870;width:5715;" filled="f" stroked="t" coordsize="21600,21600" o:gfxdata="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hPi+tgA&#10;AAAFAQAADwAAAAAAAAABACAAAAAiAAAAZHJzL2Rvd25yZXYueG1sUEsBAhQAFAAAAAgAh07iQBnp&#10;MJgfAgAA/QMAAA4AAAAAAAAAAQAgAAAAJwEAAGRycy9lMm9Eb2MueG1sUEsFBgAAAAAGAAYAWQEA&#10;ALgFAAAAAA==&#10;">
                        <v:fill on="f" focussize="0,0"/>
                        <v:stroke weight="1pt" color="#000000 [3200]" miterlimit="8" joinstyle="miter" endarrow="open"/>
                        <v:imagedata o:title=""/>
                        <o:lock v:ext="edit" aspectratio="f"/>
                      </v:shape>
                      <v:shape id="_x0000_s1026" o:spid="_x0000_s1026" o:spt="32" type="#_x0000_t32" style="position:absolute;left:786130;top:1694815;flip:y;height:635;width:437515;" filled="f" stroked="t" coordsize="21600,21600" o:gfxdata="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oT&#10;4vrYAAAABQEAAA8AAAAAAAAAAQAgAAAAIgAAAGRycy9kb3ducmV2LnhtbFBLAQIUABQAAAAIAIdO&#10;4kCSOzl5IwIAAPwDAAAOAAAAAAAAAAEAIAAAACcBAABkcnMvZTJvRG9jLnhtbFBLBQYAAAAABgAG&#10;AFkBAAC8BQAAAAA=&#10;">
                        <v:fill on="f" focussize="0,0"/>
                        <v:stroke weight="1pt" color="#000000 [3200]" miterlimit="8" joinstyle="miter" endarrow="open"/>
                        <v:imagedata o:title=""/>
                        <o:lock v:ext="edit" aspectratio="f"/>
                      </v:shape>
                      <v:shape id="_x0000_s1026" o:spid="_x0000_s1026" o:spt="32" type="#_x0000_t32" style="position:absolute;left:1708150;top:1694815;height:8255;width:571500;" filled="f" stroked="t" coordsize="21600,21600" o:gfxdata="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uuXl31QAAAAUBAAAPAAAA&#10;AAAAAAEAIAAAACIAAABkcnMvZG93bnJldi54bWxQSwECFAAUAAAACACHTuJA/SRINhgCAADzAwAA&#10;DgAAAAAAAAABACAAAAAkAQAAZHJzL2Uyb0RvYy54bWxQSwUGAAAAAAYABgBZAQAArgUAAAAA&#10;">
                        <v:fill on="f" focussize="0,0"/>
                        <v:stroke weight="1pt" color="#000000 [3200]" miterlimit="8" joinstyle="miter" endarrow="open"/>
                        <v:imagedata o:title=""/>
                        <o:lock v:ext="edit" aspectratio="f"/>
                      </v:shape>
                      <v:shape id="_x0000_s1026" o:spid="_x0000_s1026" o:spt="32" type="#_x0000_t32" style="position:absolute;left:2764155;top:1698625;flip:y;height:4445;width:459105;" filled="f" stroked="t" coordsize="21600,21600" o:gfxdata="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hPi+tgAAAAFAQAADwAAAAAAAAABACAAAAAiAAAAZHJzL2Rvd25yZXYueG1sUEsBAhQAFAAAAAgA&#10;h07iQIxHtlQlAgAA/gMAAA4AAAAAAAAAAQAgAAAAJwEAAGRycy9lMm9Eb2MueG1sUEsFBgAAAAAG&#10;AAYAWQEAAL4FAAAAAA==&#10;">
                        <v:fill on="f" focussize="0,0"/>
                        <v:stroke weight="1pt" color="#000000 [3200]" miterlimit="8" joinstyle="miter" endarrow="open"/>
                        <v:imagedata o:title=""/>
                        <o:lock v:ext="edit" aspectratio="f"/>
                      </v:shape>
                      <v:shape id="_x0000_s1026" o:spid="_x0000_s1026" o:spt="32" type="#_x0000_t32" style="position:absolute;left:1708150;top:1694815;height:3175;width:571500;" filled="f" stroked="t" coordsize="21600,21600" o:gfxdata="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rl5d9UAAAAFAQAADwAA&#10;AAAAAAABACAAAAAiAAAAZHJzL2Rvd25yZXYueG1sUEsBAhQAFAAAAAgAh07iQMVAPS4ZAgAA9QMA&#10;AA4AAAAAAAAAAQAgAAAAJAEAAGRycy9lMm9Eb2MueG1sUEsFBgAAAAAGAAYAWQEAAK8FAAAAAA==&#10;">
                        <v:fill on="f" focussize="0,0"/>
                        <v:stroke weight="1pt" color="#000000 [3200]" miterlimit="8" joinstyle="miter" endarrow="open"/>
                        <v:imagedata o:title=""/>
                        <o:lock v:ext="edit" aspectratio="f"/>
                      </v:shape>
                      <v:shape id="_x0000_s1026" o:spid="_x0000_s1026" o:spt="202" type="#_x0000_t202" style="position:absolute;left:1986915;top:24130;height:272415;width:485140;" fillcolor="#FFFFFF [3201]" filled="t" stroked="f" coordsize="21600,21600" o:gfxdata="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wCi/Y0wAAAAUBAAAPAAAAAAAAAAEAIAAAACIAAABkcnMvZG93bnJl&#10;di54bWxQSwECFAAUAAAACACHTuJAKE4EpzsCAABMBAAADgAAAAAAAAABACAAAAAiAQAAZHJzL2Uy&#10;b0RvYy54bWxQSwUGAAAAAAYABgBZAQAAzwUAAAAA&#10;">
                        <v:fill on="t" focussize="0,0"/>
                        <v:stroke on="f" weight="0.5pt"/>
                        <v:imagedata o:title=""/>
                        <o:lock v:ext="edit" aspectratio="f"/>
                        <v:textbox>
                          <w:txbxContent>
                            <w:p>
                              <w:pPr>
                                <w:rPr>
                                  <w:rFonts w:hint="eastAsia" w:eastAsiaTheme="minorEastAsia"/>
                                  <w:sz w:val="15"/>
                                  <w:szCs w:val="15"/>
                                  <w:lang w:eastAsia="zh-CN"/>
                                </w:rPr>
                              </w:pPr>
                              <w:r>
                                <w:rPr>
                                  <w:rFonts w:hint="eastAsia"/>
                                  <w:sz w:val="15"/>
                                  <w:szCs w:val="15"/>
                                  <w:lang w:eastAsia="zh-CN"/>
                                </w:rPr>
                                <w:t>自来水</w:t>
                              </w:r>
                            </w:p>
                          </w:txbxContent>
                        </v:textbox>
                      </v:shape>
                      <v:shape id="_x0000_s1026" o:spid="_x0000_s1026" o:spt="32" type="#_x0000_t32" style="position:absolute;left:1895475;top:21590;height:323215;width:7620;" filled="f" stroked="t" coordsize="21600,21600" o:gfxdata="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rl5d9UAAAAFAQAADwAAAAAAAAABACAA&#10;AAAiAAAAZHJzL2Rvd25yZXYueG1sUEsBAhQAFAAAAAgAh07iQDKmV80QAgAA2QMAAA4AAAAAAAAA&#10;AQAgAAAAJAEAAGRycy9lMm9Eb2MueG1sUEsFBgAAAAAGAAYAWQEAAKYFAAAAAA==&#10;">
                        <v:fill on="f" focussize="0,0"/>
                        <v:stroke weight="1pt" color="#000000 [3200]" miterlimit="8" joinstyle="miter" endarrow="open"/>
                        <v:imagedata o:title=""/>
                        <o:lock v:ext="edit" aspectratio="f"/>
                      </v:shape>
                      <v:shape id="_x0000_s1026" o:spid="_x0000_s1026" o:spt="32" type="#_x0000_t32" style="position:absolute;left:2512695;top:1246505;height:333375;width:9525;" filled="f" stroked="t" coordsize="21600,21600" o:gfxdata="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uuXl31QAAAAUBAAAP&#10;AAAAAAAAAAEAIAAAACIAAABkcnMvZG93bnJldi54bWxQSwECFAAUAAAACACHTuJAFAXi5hsCAAD0&#10;AwAADgAAAAAAAAABACAAAAAkAQAAZHJzL2Uyb0RvYy54bWxQSwUGAAAAAAYABgBZAQAAsQUAAAAA&#10;">
                        <v:fill on="f" focussize="0,0"/>
                        <v:stroke weight="1pt" color="#000000 [3200]" miterlimit="8" joinstyle="miter" endarrow="open"/>
                        <v:imagedata o:title=""/>
                        <o:lock v:ext="edit" aspectratio="f"/>
                      </v:shape>
                      <v:shape id="_x0000_s1026" o:spid="_x0000_s1026" o:spt="32" type="#_x0000_t32" style="position:absolute;left:3492500;top:241935;flip:y;height:294640;width:3810;" filled="f" stroked="t" coordsize="21600,21600" o:gfxdata="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jtCpL1gAAAAUBAAAP&#10;AAAAAAAAAAEAIAAAACIAAABkcnMvZG93bnJldi54bWxQSwECFAAUAAAACACHTuJAsVDGzBoCAADk&#10;AwAADgAAAAAAAAABACAAAAAlAQAAZHJzL2Uyb0RvYy54bWxQSwUGAAAAAAYABgBZAQAAsQUAAAAA&#10;">
                        <v:fill on="f" focussize="0,0"/>
                        <v:stroke weight="1pt" color="#000000 [3200]" miterlimit="8" joinstyle="miter" dashstyle="1 1" endarrow="open"/>
                        <v:imagedata o:title=""/>
                        <o:lock v:ext="edit" aspectratio="f"/>
                      </v:shape>
                      <v:shape id="_x0000_s1026" o:spid="_x0000_s1026" o:spt="32" type="#_x0000_t32" style="position:absolute;left:1466215;top:1825625;height:479425;width:6985;" filled="f" stroked="t" coordsize="21600,21600" o:gfxdata="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uuXl31QAAAAUBAAAP&#10;AAAAAAAAAAEAIAAAACIAAABkcnMvZG93bnJldi54bWxQSwECFAAUAAAACACHTuJAjNk5eRsCAAD0&#10;AwAADgAAAAAAAAABACAAAAAkAQAAZHJzL2Uyb0RvYy54bWxQSwUGAAAAAAYABgBZAQAAsQUAAAAA&#10;">
                        <v:fill on="f" focussize="0,0"/>
                        <v:stroke weight="1pt" color="#000000 [3200]" miterlimit="8" joinstyle="miter" endarrow="open"/>
                        <v:imagedata o:title=""/>
                        <o:lock v:ext="edit" aspectratio="f"/>
                      </v:shape>
                      <v:shape id="_x0000_s1026" o:spid="_x0000_s1026" o:spt="34" type="#_x0000_t34" style="position:absolute;left:1592580;top:1371600;height:182880;width:190500;rotation:-5898240f;" filled="f" stroked="t" coordsize="21600,21600" o:gfxdata="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42baNUAAAAF&#10;AQAADwAAAAAAAAABACAAAAAiAAAAZHJzL2Rvd25yZXYueG1sUEsBAhQAFAAAAAgAh07iQNnvZncf&#10;AgAA6AMAAA4AAAAAAAAAAQAgAAAAJAEAAGRycy9lMm9Eb2MueG1sUEsFBgAAAAAGAAYAWQEAALUF&#10;AAAAAA==&#10;" adj="10728">
                        <v:fill on="f" focussize="0,0"/>
                        <v:stroke weight="1pt" color="#000000 [3200]" miterlimit="8" joinstyle="miter" dashstyle="1 1" endarrow="open"/>
                        <v:imagedata o:title=""/>
                        <o:lock v:ext="edit" aspectratio="f"/>
                      </v:shape>
                      <v:shape id="_x0000_s1026" o:spid="_x0000_s1026" o:spt="202" type="#_x0000_t202" style="position:absolute;left:1811020;top:1304925;height:231775;width:365125;" fillcolor="#FFFFFF [3201]" filled="t" stroked="f" coordsize="21600,21600" o:gfxdata="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AKL9jTAAAABQEAAA8AAAAAAAAAAQAgAAAAIgAAAGRycy9k&#10;b3ducmV2LnhtbFBLAQIUABQAAAAIAIdO4kDiwMICQAIAAE4EAAAOAAAAAAAAAAEAIAAAACIBAABk&#10;cnMvZTJvRG9jLnhtbFBLBQYAAAAABgAGAFkBAADUBQAAAAA=&#10;">
                        <v:fill on="t" focussize="0,0"/>
                        <v:stroke on="f" weight="0.5pt"/>
                        <v:imagedata o:title=""/>
                        <o:lock v:ext="edit" aspectratio="f"/>
                        <v:textbox>
                          <w:txbxContent>
                            <w:p>
                              <w:pPr>
                                <w:rPr>
                                  <w:rFonts w:hint="eastAsia" w:eastAsiaTheme="minorEastAsia"/>
                                  <w:sz w:val="13"/>
                                  <w:szCs w:val="13"/>
                                  <w:lang w:eastAsia="zh-CN"/>
                                </w:rPr>
                              </w:pPr>
                              <w:r>
                                <w:rPr>
                                  <w:rFonts w:hint="eastAsia"/>
                                  <w:sz w:val="13"/>
                                  <w:szCs w:val="13"/>
                                  <w:lang w:eastAsia="zh-CN"/>
                                </w:rPr>
                                <w:t>噪声</w:t>
                              </w:r>
                            </w:p>
                          </w:txbxContent>
                        </v:textbox>
                      </v:shape>
                      <v:shape id="_x0000_s1026" o:spid="_x0000_s1026" o:spt="33" type="#_x0000_t33" style="position:absolute;left:2661920;top:1405890;height:154305;width:198120;rotation:-5898240f;" filled="f" stroked="t" coordsize="21600,21600" o:gfxdata="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ojy7NYAAAAFAQAADwAA&#10;AAAAAAABACAAAAAiAAAAZHJzL2Rvd25yZXYueG1sUEsBAhQAFAAAAAgAh07iQJ1c0zsYAgAA4wMA&#10;AA4AAAAAAAAAAQAgAAAAJQEAAGRycy9lMm9Eb2MueG1sUEsFBgAAAAAGAAYAWQEAAK8FAAAAAA==&#10;">
                        <v:fill on="f" focussize="0,0"/>
                        <v:stroke weight="1pt" color="#000000 [3200]" miterlimit="8" joinstyle="miter" dashstyle="1 1" endarrow="open"/>
                        <v:imagedata o:title=""/>
                        <o:lock v:ext="edit" aspectratio="f"/>
                      </v:shape>
                      <v:shape id="_x0000_s1026" o:spid="_x0000_s1026" o:spt="202" type="#_x0000_t202" style="position:absolute;left:2838450;top:1267460;height:231775;width:365125;" fillcolor="#FFFFFF [3201]" filled="t" stroked="f" coordsize="21600,21600" o:gfxdata="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8Aov2NMAAAAFAQAADwAAAAAAAAABACAAAAAiAAAAZHJzL2Rv&#10;d25yZXYueG1sUEsBAhQAFAAAAAgAh07iQD8ysxM/AgAATgQAAA4AAAAAAAAAAQAgAAAAIgEAAGRy&#10;cy9lMm9Eb2MueG1sUEsFBgAAAAAGAAYAWQEAANMFAAAAAA==&#10;">
                        <v:fill on="t" focussize="0,0"/>
                        <v:stroke on="f" weight="0.5pt"/>
                        <v:imagedata o:title=""/>
                        <o:lock v:ext="edit" aspectratio="f"/>
                        <v:textbox>
                          <w:txbxContent>
                            <w:p>
                              <w:pPr>
                                <w:rPr>
                                  <w:rFonts w:hint="eastAsia" w:eastAsiaTheme="minorEastAsia"/>
                                  <w:sz w:val="13"/>
                                  <w:szCs w:val="13"/>
                                  <w:lang w:eastAsia="zh-CN"/>
                                </w:rPr>
                              </w:pPr>
                              <w:r>
                                <w:rPr>
                                  <w:rFonts w:hint="eastAsia"/>
                                  <w:sz w:val="13"/>
                                  <w:szCs w:val="13"/>
                                  <w:lang w:eastAsia="zh-CN"/>
                                </w:rPr>
                                <w:t>噪声</w:t>
                              </w:r>
                            </w:p>
                          </w:txbxContent>
                        </v:textbox>
                      </v:shape>
                      <v:shape id="_x0000_s1026" o:spid="_x0000_s1026" o:spt="33" type="#_x0000_t33" style="position:absolute;left:1918970;top:2218055;flip:y;height:102870;width:391160;" filled="f" stroked="t" coordsize="21600,21600" o:gfxdata="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05+0bVAAAABQEAAA8AAAAAAAAAAQAgAAAAIgAAAGRycy9k&#10;b3ducmV2LnhtbFBLAQIUABQAAAAIAIdO4kBfLPuxBQIAALYDAAAOAAAAAAAAAAEAIAAAACQBAABk&#10;cnMvZTJvRG9jLnhtbFBLBQYAAAAABgAGAFkBAACbBQAAAAA=&#10;">
                        <v:fill on="f" focussize="0,0"/>
                        <v:stroke weight="1pt" color="#000000 [3200]" miterlimit="8" joinstyle="miter" dashstyle="1 1" endarrow="open"/>
                        <v:imagedata o:title=""/>
                        <o:lock v:ext="edit" aspectratio="f"/>
                      </v:shape>
                      <v:shape id="_x0000_s1026" o:spid="_x0000_s1026" o:spt="202" type="#_x0000_t202" style="position:absolute;left:1980565;top:1979930;height:262255;width:357505;" fillcolor="#FFFFFF [3201]" filled="t" stroked="f" coordsize="21600,21600" o:gfxdata="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wCi/Y0wAAAAUBAAAPAAAAAAAAAAEAIAAAACIAAABkcnMvZG93&#10;bnJldi54bWxQSwECFAAUAAAACACHTuJAymkGcT4CAABOBAAADgAAAAAAAAABACAAAAAiAQAAZHJz&#10;L2Uyb0RvYy54bWxQSwUGAAAAAAYABgBZAQAA0gUAAAAA&#10;">
                        <v:fill on="t" focussize="0,0"/>
                        <v:stroke on="f" weight="0.5pt"/>
                        <v:imagedata o:title=""/>
                        <o:lock v:ext="edit" aspectratio="f"/>
                        <v:textbox>
                          <w:txbxContent>
                            <w:p>
                              <w:pPr>
                                <w:rPr>
                                  <w:rFonts w:hint="eastAsia" w:eastAsiaTheme="minorEastAsia"/>
                                  <w:sz w:val="13"/>
                                  <w:szCs w:val="13"/>
                                  <w:lang w:eastAsia="zh-CN"/>
                                </w:rPr>
                              </w:pPr>
                              <w:r>
                                <w:rPr>
                                  <w:rFonts w:hint="eastAsia"/>
                                  <w:sz w:val="13"/>
                                  <w:szCs w:val="13"/>
                                  <w:lang w:eastAsia="zh-CN"/>
                                </w:rPr>
                                <w:t>废气</w:t>
                              </w:r>
                            </w:p>
                          </w:txbxContent>
                        </v:textbox>
                      </v:shape>
                      <v:shape id="_x0000_s1026" o:spid="_x0000_s1026" o:spt="34" type="#_x0000_t34" style="position:absolute;left:821690;top:2455545;flip:y;height:60325;width:372110;rotation:11796480f;" filled="f" stroked="t" coordsize="21600,21600" o:gfxdata="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K&#10;gpJW1gAAAAUBAAAPAAAAAAAAAAEAIAAAACIAAABkcnMvZG93bnJldi54bWxQSwECFAAUAAAACACH&#10;TuJAb7MWWCYCAADwAwAADgAAAAAAAAABACAAAAAlAQAAZHJzL2Uyb0RvYy54bWxQSwUGAAAAAAYA&#10;BgBZAQAAvQUAAAAA&#10;" adj="10763">
                        <v:fill on="f" focussize="0,0"/>
                        <v:stroke weight="1pt" color="#000000 [3200]" miterlimit="8" joinstyle="miter" dashstyle="1 1" endarrow="open"/>
                        <v:imagedata o:title=""/>
                        <o:lock v:ext="edit" aspectratio="f"/>
                      </v:shape>
                      <v:shape id="_x0000_s1026" o:spid="_x0000_s1026" o:spt="202" type="#_x0000_t202" style="position:absolute;left:432435;top:2375535;height:248920;width:365125;" fillcolor="#FFFFFF [3201]" filled="t" stroked="f" coordsize="21600,21600" o:gfxdata="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wCi/Y0wAAAAUBAAAPAAAAAAAAAAEAIAAAACIAAABkcnMv&#10;ZG93bnJldi54bWxQSwECFAAUAAAACACHTuJAuHuknkECAABNBAAADgAAAAAAAAABACAAAAAiAQAA&#10;ZHJzL2Uyb0RvYy54bWxQSwUGAAAAAAYABgBZAQAA1QUAAAAA&#10;">
                        <v:fill on="t" focussize="0,0"/>
                        <v:stroke on="f" weight="0.5pt"/>
                        <v:imagedata o:title=""/>
                        <o:lock v:ext="edit" aspectratio="f"/>
                        <v:textbox>
                          <w:txbxContent>
                            <w:p>
                              <w:pPr>
                                <w:rPr>
                                  <w:rFonts w:hint="eastAsia" w:eastAsiaTheme="minorEastAsia"/>
                                  <w:sz w:val="13"/>
                                  <w:szCs w:val="13"/>
                                  <w:lang w:eastAsia="zh-CN"/>
                                </w:rPr>
                              </w:pPr>
                              <w:r>
                                <w:rPr>
                                  <w:rFonts w:hint="eastAsia"/>
                                  <w:sz w:val="13"/>
                                  <w:szCs w:val="13"/>
                                  <w:lang w:eastAsia="zh-CN"/>
                                </w:rPr>
                                <w:t>污泥</w:t>
                              </w:r>
                            </w:p>
                          </w:txbxContent>
                        </v:textbox>
                      </v:shape>
                      <v:shape id="_x0000_s1026" o:spid="_x0000_s1026" o:spt="33" type="#_x0000_t33" style="position:absolute;left:3246120;top:1341120;flip:y;height:265430;width:180340;rotation:5898240f;" filled="f" stroked="t" coordsize="21600,21600" o:gfxdata="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w7btUAAAAFAQAADwAAAAAAAAABACAAAAAiAAAAZHJzL2Rvd25yZXYueG1sUEsBAhQAFAAAAAgA&#10;h07iQHRQYiIoAgAABwQAAA4AAAAAAAAAAQAgAAAAJAEAAGRycy9lMm9Eb2MueG1sUEsFBgAAAAAG&#10;AAYAWQEAAL4FAAAAAA==&#10;">
                        <v:fill on="f" focussize="0,0"/>
                        <v:stroke weight="1pt" color="#000000 [3200]" miterlimit="8" joinstyle="miter" dashstyle="1 1" endarrow="open"/>
                        <v:imagedata o:title=""/>
                        <o:lock v:ext="edit" aspectratio="f"/>
                      </v:shape>
                      <v:shape id="_x0000_s1026" o:spid="_x0000_s1026" o:spt="34" type="#_x0000_t34" style="position:absolute;left:2032000;top:480060;flip:y;height:609600;width:351790;rotation:-5898240f;" filled="f" stroked="t" coordsize="21600,21600" o:gfxdata="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TXMjP1gAAAAUBAAAPAAAAAAAAAAEAIAAAACIAAABkcnMvZG93bnJl&#10;di54bWxQSwECFAAUAAAACACHTuJA9X8k5DgCAAAzBAAADgAAAAAAAAABACAAAAAlAQAAZHJzL2Uy&#10;b0RvYy54bWxQSwUGAAAAAAYABgBZAQAAzwUAAAAA&#10;" adj="10800">
                        <v:fill on="f" focussize="0,0"/>
                        <v:stroke weight="1pt" color="#000000 [3200]" miterlimit="8" joinstyle="miter" endarrow="open"/>
                        <v:imagedata o:title=""/>
                        <o:lock v:ext="edit" aspectratio="f"/>
                      </v:shape>
                      <v:shape id="_x0000_s1026" o:spid="_x0000_s1026" o:spt="34" type="#_x0000_t34" style="position:absolute;left:2743200;top:675640;flip:y;height:294005;width:304800;" filled="f" stroked="t" coordsize="21600,21600" o:gfxdata="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yWMnNMAAAAFAQAADwAAAAAAAAABACAAAAAiAAAAZHJzL2Rvd25yZXYueG1sUEsBAhQAFAAA&#10;AAgAh07iQMklOxktAgAADAQAAA4AAAAAAAAAAQAgAAAAIgEAAGRycy9lMm9Eb2MueG1sUEsFBgAA&#10;AAAGAAYAWQEAAMEFAAAAAA==&#10;" adj="10845">
                        <v:fill on="f" focussize="0,0"/>
                        <v:stroke weight="1pt" color="#000000 [3200]" miterlimit="8" joinstyle="miter" dashstyle="1 1" endarrow="open"/>
                        <v:imagedata o:title=""/>
                        <o:lock v:ext="edit" aspectratio="f"/>
                      </v:shape>
                      <v:shape id="_x0000_s1026" o:spid="_x0000_s1026" o:spt="34" type="#_x0000_t34" style="position:absolute;left:2976880;top:1064895;flip:y;height:38735;width:346075;" filled="f" stroked="t" coordsize="21600,21600" o:gfxdata="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2S1qYtcAAAAFAQAADwAAAAAAAAABACAAAAAiAAAAZHJzL2Rvd25yZXYueG1sUEsB&#10;AhQAFAAAAAgAh07iQHjABeMvAgAACwQAAA4AAAAAAAAAAQAgAAAAJgEAAGRycy9lMm9Eb2MueG1s&#10;UEsFBgAAAAAGAAYAWQEAAMcFAAAAAA==&#10;" adj="10820">
                        <v:fill on="f" focussize="0,0"/>
                        <v:stroke weight="1pt" color="#000000 [3200]" miterlimit="8" joinstyle="miter" dashstyle="1 1" endarrow="open"/>
                        <v:imagedata o:title=""/>
                        <o:lock v:ext="edit" aspectratio="f"/>
                      </v:shape>
                      <v:shape id="_x0000_s1026" o:spid="_x0000_s1026" o:spt="202" type="#_x0000_t202" style="position:absolute;left:3357245;top:949960;height:248920;width:407035;" fillcolor="#FFFFFF [3201]" filled="t" stroked="f" coordsize="21600,21600" o:gfxdata="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8Aov2NMAAAAFAQAADwAAAAAAAAABACAAAAAiAAAAZHJz&#10;L2Rvd25yZXYueG1sUEsBAhQAFAAAAAgAh07iQGjR431CAgAATwQAAA4AAAAAAAAAAQAgAAAAIgEA&#10;AGRycy9lMm9Eb2MueG1sUEsFBgAAAAAGAAYAWQEAANYFAAAAAA==&#10;">
                        <v:fill on="t" focussize="0,0"/>
                        <v:stroke on="f" weight="0.5pt"/>
                        <v:imagedata o:title=""/>
                        <o:lock v:ext="edit" aspectratio="f"/>
                        <v:textbox>
                          <w:txbxContent>
                            <w:p>
                              <w:pPr>
                                <w:rPr>
                                  <w:rFonts w:hint="default" w:eastAsiaTheme="minorEastAsia"/>
                                  <w:sz w:val="15"/>
                                  <w:szCs w:val="15"/>
                                  <w:lang w:val="en-US" w:eastAsia="zh-CN"/>
                                </w:rPr>
                              </w:pPr>
                              <w:r>
                                <w:rPr>
                                  <w:rFonts w:hint="eastAsia"/>
                                  <w:sz w:val="15"/>
                                  <w:szCs w:val="15"/>
                                  <w:lang w:val="en-US" w:eastAsia="zh-CN"/>
                                </w:rPr>
                                <w:t>固废</w:t>
                              </w:r>
                            </w:p>
                          </w:txbxContent>
                        </v:textbox>
                      </v:shape>
                      <v:shape id="_x0000_s1026" o:spid="_x0000_s1026" o:spt="32" type="#_x0000_t32" style="position:absolute;left:3714750;top:1698625;height:0;width:405765;" filled="f" stroked="t" coordsize="21600,21600" o:gfxdata="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rl5d9UAAAAFAQAADwAAAAAAAAABACAA&#10;AAAiAAAAZHJzL2Rvd25yZXYueG1sUEsBAhQAFAAAAAgAh07iQGo+4soQAgAA4AMAAA4AAAAAAAAA&#10;AQAgAAAAJAEAAGRycy9lMm9Eb2MueG1sUEsFBgAAAAAGAAYAWQEAAKYFAAAAAA==&#10;">
                        <v:fill on="f" focussize="0,0"/>
                        <v:stroke weight="1pt" color="#000000 [3213]" miterlimit="8" joinstyle="miter" endarrow="open"/>
                        <v:imagedata o:title=""/>
                        <o:lock v:ext="edit" aspectratio="f"/>
                      </v:shape>
                      <v:shape id="_x0000_s1026" o:spid="_x0000_s1026" o:spt="34" type="#_x0000_t34" style="position:absolute;left:1329690;top:1496060;height:542925;width:1028700;rotation:5898240f;" filled="f" stroked="t" coordsize="21600,21600" o:gfxdata="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46erNYAAAAF&#10;AQAADwAAAAAAAAABACAAAAAiAAAAZHJzL2Rvd25yZXYueG1sUEsBAhQAFAAAAAgAh07iQO1xP2Ie&#10;AgAA5gMAAA4AAAAAAAAAAQAgAAAAJQEAAGRycy9lMm9Eb2MueG1sUEsFBgAAAAAGAAYAWQEAALUF&#10;AAAAAA==&#10;" adj="13833">
                        <v:fill on="f" focussize="0,0"/>
                        <v:stroke weight="1pt" color="#000000 [3213]" miterlimit="8" joinstyle="miter" dashstyle="dash" endarrow="open"/>
                        <v:imagedata o:title=""/>
                        <o:lock v:ext="edit" aspectratio="f"/>
                      </v:shape>
                      <v:shape id="_x0000_s1026" o:spid="_x0000_s1026" o:spt="202" type="#_x0000_t202" style="position:absolute;left:1592580;top:1913255;height:257175;width:400685;" fillcolor="#FFFFFF [3201]" filled="t" stroked="f" coordsize="21600,21600" o:gfxdata="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wCi/Y0wAAAAUBAAAPAAAAAAAAAAEAIAAAACIAAABkcnMv&#10;ZG93bnJldi54bWxQSwECFAAUAAAACACHTuJA1AgQSkECAABOBAAADgAAAAAAAAABACAAAAAiAQAA&#10;ZHJzL2Uyb0RvYy54bWxQSwUGAAAAAAYABgBZAQAA1QUAAAAA&#10;">
                        <v:fill on="t" focussize="0,0"/>
                        <v:stroke on="f" weight="0.5pt"/>
                        <v:imagedata o:title=""/>
                        <o:lock v:ext="edit" aspectratio="f"/>
                        <v:textbox>
                          <w:txbxContent>
                            <w:p>
                              <w:pPr>
                                <w:rPr>
                                  <w:rFonts w:hint="eastAsia" w:eastAsiaTheme="minorEastAsia"/>
                                  <w:sz w:val="13"/>
                                  <w:szCs w:val="13"/>
                                  <w:lang w:eastAsia="zh-CN"/>
                                </w:rPr>
                              </w:pPr>
                              <w:r>
                                <w:rPr>
                                  <w:rFonts w:hint="eastAsia"/>
                                  <w:sz w:val="13"/>
                                  <w:szCs w:val="13"/>
                                  <w:lang w:eastAsia="zh-CN"/>
                                </w:rPr>
                                <w:t>废水</w:t>
                              </w:r>
                            </w:p>
                          </w:txbxContent>
                        </v:textbox>
                      </v:shape>
                      <v:shape id="_x0000_s1026" o:spid="_x0000_s1026" o:spt="32" type="#_x0000_t32" style="position:absolute;left:2271395;top:3167380;flip:y;height:3175;width:730885;" filled="f" stroked="t" coordsize="21600,21600" o:gfxdata="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T4vrYAAAABQEAAA8A&#10;AAAAAAAAAQAgAAAAIgAAAGRycy9kb3ducmV2LnhtbFBLAQIUABQAAAAIAIdO4kBRaLn3FwIAAO0D&#10;AAAOAAAAAAAAAAEAIAAAACcBAABkcnMvZTJvRG9jLnhtbFBLBQYAAAAABgAGAFkBAACwBQAAAAA=&#10;">
                        <v:fill on="f" focussize="0,0"/>
                        <v:stroke weight="1pt" color="#000000 [3213]" miterlimit="8" joinstyle="miter" endarrow="open"/>
                        <v:imagedata o:title=""/>
                        <o:lock v:ext="edit" aspectratio="f"/>
                      </v:shape>
                      <v:shape id="_x0000_s1026" o:spid="_x0000_s1026" o:spt="32" type="#_x0000_t32" style="position:absolute;left:3506470;top:2699385;flip:x y;height:332740;width:635;" filled="f" stroked="t" coordsize="21600,21600" o:gfxdata="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TZswNcAAAAF&#10;AQAADwAAAAAAAAABACAAAAAiAAAAZHJzL2Rvd25yZXYueG1sUEsBAhQAFAAAAAgAh07iQLc2lX8d&#10;AgAA9gMAAA4AAAAAAAAAAQAgAAAAJgEAAGRycy9lMm9Eb2MueG1sUEsFBgAAAAAGAAYAWQEAALUF&#10;AAAAAA==&#10;">
                        <v:fill on="f" focussize="0,0"/>
                        <v:stroke weight="1pt" color="#000000 [3213]" miterlimit="8" joinstyle="miter" endarrow="open"/>
                        <v:imagedata o:title=""/>
                        <o:lock v:ext="edit" aspectratio="f"/>
                      </v:shape>
                      <v:shape id="_x0000_s1026" o:spid="_x0000_s1026" o:spt="32" type="#_x0000_t32" style="position:absolute;left:1928495;top:2540000;flip:y;height:12700;width:1073785;" filled="f" stroked="t" coordsize="21600,21600" o:gfxdata="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T4vrYAAAABQEAAA8A&#10;AAAAAAAAAQAgAAAAIgAAAGRycy9kb3ducmV2LnhtbFBLAQIUABQAAAAIAIdO4kBTnaDgFwIAAPED&#10;AAAOAAAAAAAAAAEAIAAAACcBAABkcnMvZTJvRG9jLnhtbFBLBQYAAAAABgAGAFkBAACwBQAAAAA=&#10;">
                        <v:fill on="f" focussize="0,0"/>
                        <v:stroke weight="1pt" color="#000000 [3213]" miterlimit="8" joinstyle="miter" endarrow="open"/>
                        <v:imagedata o:title=""/>
                        <o:lock v:ext="edit" aspectratio="f"/>
                      </v:shape>
                      <w10:wrap type="none"/>
                      <w10:anchorlock/>
                    </v:group>
                  </w:pict>
                </mc:Fallback>
              </mc:AlternateContent>
            </w:r>
            <w:r>
              <w:rPr>
                <w:rFonts w:hint="eastAsia"/>
                <w:b/>
                <w:bCs/>
                <w:color w:val="auto"/>
                <w:lang w:eastAsia="zh-CN"/>
              </w:rPr>
              <w:t>图</w:t>
            </w:r>
            <w:r>
              <w:rPr>
                <w:rFonts w:hint="eastAsia"/>
                <w:b/>
                <w:bCs/>
                <w:color w:val="auto"/>
                <w:lang w:val="en-US" w:eastAsia="zh-CN"/>
              </w:rPr>
              <w:t>2-3  运营期工艺流程及污染源节点图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1</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sz w:val="24"/>
                <w:szCs w:val="24"/>
                <w:lang w:val="en-US" w:eastAsia="zh-CN"/>
              </w:rPr>
              <w:t>工艺流程简述如下</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分拣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首先对布草按颜色、面料、污渍的轻重进行分类，按不同布草分类洗涤，需要重污处理的特殊处理。</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洗涤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项目洗涤用水均经水净化车间处理后使用。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①预洗：把分类好的布草以洗缸容积的80%装缸，加入中水位清洗2-3分钟，使污垢得到溶解，先洗去部分水溶性污垢，随水排掉。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②主洗：预洗后把水排掉，加水至中水位，加入清洗原料（600克强力洗衣粉及350克彩漂粉），根据布草状况，进行加强清洗。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③清洗：主洗后把水排掉，加入高水位进行清洗，即两遍排水，两遍中脱至使布草上的洗涤剂清洗干净。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④中和、柔顺：布草漂洗后，上面会含有部分残留洗涤剂，所以加入200克-300克中和酸柔顺剂，进行高脱，使布草在使用时更加光泽，柔顺。期间产生中和剂废包装桶。</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烘干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人工将清洗干净并脱水后的布草送至烘干区，通过蒸汽加热烘干，烘干过程中会产生噪声。</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熨烫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将烘干的布草（毛巾类除外）送至布草熨烫区进行熨烫，该过程会产生噪声。</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打包出货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将折叠整理好的布草人工捆扎打包出货。使用清洁干净的布匹对折叠整理好的布草进行统一包裹之后由车辆运输出场外。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2</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sz w:val="24"/>
                <w:szCs w:val="24"/>
                <w:lang w:val="en-US" w:eastAsia="zh-CN"/>
              </w:rPr>
              <w:t>污染源产污节点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项目施工期主要产污为：施工粉尘、施工噪声、施工废水、施工固废。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项目运营期主要产污为：锅炉燃烧废气、</w:t>
            </w:r>
            <w:r>
              <w:rPr>
                <w:rFonts w:hint="eastAsia" w:ascii="Times New Roman" w:hAnsi="Times New Roman" w:eastAsia="宋体" w:cs="Times New Roman"/>
                <w:color w:val="auto"/>
                <w:sz w:val="24"/>
                <w:szCs w:val="24"/>
                <w:lang w:val="en-US" w:eastAsia="zh-CN"/>
              </w:rPr>
              <w:t>化粪池</w:t>
            </w:r>
            <w:r>
              <w:rPr>
                <w:rFonts w:hint="default" w:ascii="Times New Roman" w:hAnsi="Times New Roman" w:eastAsia="宋体" w:cs="Times New Roman"/>
                <w:color w:val="auto"/>
                <w:sz w:val="24"/>
                <w:szCs w:val="24"/>
                <w:lang w:val="en-US" w:eastAsia="zh-CN"/>
              </w:rPr>
              <w:t>恶臭、生产设备噪声、清洗废水、锅炉废水、生活污水，生产固废及生活垃圾，项目产污环节见下表；</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表2-8  污染物产生情况一览表</w:t>
            </w:r>
          </w:p>
          <w:tbl>
            <w:tblPr>
              <w:tblStyle w:val="7"/>
              <w:tblW w:w="7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773"/>
              <w:gridCol w:w="1173"/>
              <w:gridCol w:w="812"/>
              <w:gridCol w:w="1699"/>
              <w:gridCol w:w="734"/>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工期</w:t>
                  </w:r>
                </w:p>
              </w:tc>
              <w:tc>
                <w:tcPr>
                  <w:tcW w:w="773"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污染类别</w:t>
                  </w:r>
                </w:p>
              </w:tc>
              <w:tc>
                <w:tcPr>
                  <w:tcW w:w="1173"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污染环节</w:t>
                  </w:r>
                </w:p>
              </w:tc>
              <w:tc>
                <w:tcPr>
                  <w:tcW w:w="812"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类型</w:t>
                  </w:r>
                </w:p>
              </w:tc>
              <w:tc>
                <w:tcPr>
                  <w:tcW w:w="1699"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主要污染物</w:t>
                  </w:r>
                </w:p>
              </w:tc>
              <w:tc>
                <w:tcPr>
                  <w:tcW w:w="734"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排放特征</w:t>
                  </w:r>
                </w:p>
              </w:tc>
              <w:tc>
                <w:tcPr>
                  <w:tcW w:w="2131"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运营期</w:t>
                  </w:r>
                </w:p>
              </w:tc>
              <w:tc>
                <w:tcPr>
                  <w:tcW w:w="773"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废气</w:t>
                  </w:r>
                </w:p>
              </w:tc>
              <w:tc>
                <w:tcPr>
                  <w:tcW w:w="1173"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生物质锅炉</w:t>
                  </w:r>
                </w:p>
              </w:tc>
              <w:tc>
                <w:tcPr>
                  <w:tcW w:w="812"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烟气</w:t>
                  </w:r>
                </w:p>
              </w:tc>
              <w:tc>
                <w:tcPr>
                  <w:tcW w:w="169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烟尘、二氧化硫、氮氧化物</w:t>
                  </w:r>
                </w:p>
              </w:tc>
              <w:tc>
                <w:tcPr>
                  <w:tcW w:w="73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间断</w:t>
                  </w:r>
                </w:p>
              </w:tc>
              <w:tc>
                <w:tcPr>
                  <w:tcW w:w="2131"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每台生物质锅炉配置1套水膜</w:t>
                  </w:r>
                  <w:r>
                    <w:rPr>
                      <w:rFonts w:hint="default" w:ascii="Times New Roman" w:hAnsi="Times New Roman" w:eastAsia="宋体" w:cs="Times New Roman"/>
                      <w:color w:val="auto"/>
                      <w:sz w:val="21"/>
                      <w:szCs w:val="21"/>
                      <w:vertAlign w:val="baseline"/>
                      <w:lang w:val="en-US" w:eastAsia="zh-CN"/>
                    </w:rPr>
                    <w:t>除尘器，废气进入</w:t>
                  </w:r>
                  <w:r>
                    <w:rPr>
                      <w:rFonts w:hint="eastAsia" w:ascii="Times New Roman" w:hAnsi="Times New Roman" w:eastAsia="宋体" w:cs="Times New Roman"/>
                      <w:color w:val="auto"/>
                      <w:sz w:val="21"/>
                      <w:szCs w:val="21"/>
                      <w:vertAlign w:val="baseline"/>
                      <w:lang w:val="en-US" w:eastAsia="zh-CN"/>
                    </w:rPr>
                    <w:t>水膜</w:t>
                  </w:r>
                  <w:r>
                    <w:rPr>
                      <w:rFonts w:hint="default" w:ascii="Times New Roman" w:hAnsi="Times New Roman" w:eastAsia="宋体" w:cs="Times New Roman"/>
                      <w:color w:val="auto"/>
                      <w:sz w:val="21"/>
                      <w:szCs w:val="21"/>
                      <w:vertAlign w:val="baseline"/>
                      <w:lang w:val="en-US" w:eastAsia="zh-CN"/>
                    </w:rPr>
                    <w:t>除尘器处理后经</w:t>
                  </w:r>
                  <w:r>
                    <w:rPr>
                      <w:rFonts w:hint="eastAsia" w:ascii="Times New Roman" w:hAnsi="Times New Roman" w:eastAsia="宋体" w:cs="Times New Roman"/>
                      <w:color w:val="auto"/>
                      <w:sz w:val="21"/>
                      <w:szCs w:val="21"/>
                      <w:vertAlign w:val="baseline"/>
                      <w:lang w:val="en-US" w:eastAsia="zh-CN"/>
                    </w:rPr>
                    <w:t>1根30</w:t>
                  </w:r>
                  <w:r>
                    <w:rPr>
                      <w:rFonts w:hint="default" w:ascii="Times New Roman" w:hAnsi="Times New Roman" w:eastAsia="宋体" w:cs="Times New Roman"/>
                      <w:color w:val="auto"/>
                      <w:sz w:val="21"/>
                      <w:szCs w:val="21"/>
                      <w:vertAlign w:val="baseline"/>
                      <w:lang w:val="en-US" w:eastAsia="zh-CN"/>
                    </w:rPr>
                    <w:t>m高排气筒排放。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773"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173"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化粪池设施</w:t>
                  </w:r>
                </w:p>
              </w:tc>
              <w:tc>
                <w:tcPr>
                  <w:tcW w:w="812"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恶臭</w:t>
                  </w:r>
                </w:p>
              </w:tc>
              <w:tc>
                <w:tcPr>
                  <w:tcW w:w="169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氨、硫化氢、臭气浓度</w:t>
                  </w:r>
                </w:p>
              </w:tc>
              <w:tc>
                <w:tcPr>
                  <w:tcW w:w="73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连续</w:t>
                  </w:r>
                </w:p>
              </w:tc>
              <w:tc>
                <w:tcPr>
                  <w:tcW w:w="2131"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封闭式处理，定期清掏污泥及定期喷洒杀菌剂。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773"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废水</w:t>
                  </w:r>
                </w:p>
              </w:tc>
              <w:tc>
                <w:tcPr>
                  <w:tcW w:w="1173"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洗涤</w:t>
                  </w:r>
                </w:p>
              </w:tc>
              <w:tc>
                <w:tcPr>
                  <w:tcW w:w="812"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洗涤废水</w:t>
                  </w:r>
                </w:p>
              </w:tc>
              <w:tc>
                <w:tcPr>
                  <w:tcW w:w="169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COD、BOD</w:t>
                  </w:r>
                  <w:r>
                    <w:rPr>
                      <w:rFonts w:hint="default" w:ascii="Times New Roman" w:hAnsi="Times New Roman" w:eastAsia="宋体" w:cs="Times New Roman"/>
                      <w:color w:val="auto"/>
                      <w:sz w:val="21"/>
                      <w:szCs w:val="21"/>
                      <w:vertAlign w:val="subscript"/>
                      <w:lang w:val="en-US" w:eastAsia="zh-CN"/>
                    </w:rPr>
                    <w:t>5</w:t>
                  </w:r>
                  <w:r>
                    <w:rPr>
                      <w:rFonts w:hint="default" w:ascii="Times New Roman" w:hAnsi="Times New Roman" w:eastAsia="宋体" w:cs="Times New Roman"/>
                      <w:color w:val="auto"/>
                      <w:sz w:val="21"/>
                      <w:szCs w:val="21"/>
                      <w:vertAlign w:val="baseline"/>
                      <w:lang w:val="en-US" w:eastAsia="zh-CN"/>
                    </w:rPr>
                    <w:t>、SS、氨氮、总磷、动植物油、阴离子表面活性剂</w:t>
                  </w:r>
                </w:p>
              </w:tc>
              <w:tc>
                <w:tcPr>
                  <w:tcW w:w="73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间断</w:t>
                  </w:r>
                </w:p>
              </w:tc>
              <w:tc>
                <w:tcPr>
                  <w:tcW w:w="2131"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生活污水、生产废水经化粪池处理达到</w:t>
                  </w:r>
                  <w:r>
                    <w:rPr>
                      <w:rFonts w:hint="eastAsia" w:ascii="Times New Roman" w:hAnsi="Times New Roman" w:eastAsia="宋体" w:cs="Times New Roman"/>
                      <w:color w:val="auto"/>
                      <w:sz w:val="21"/>
                      <w:szCs w:val="21"/>
                      <w:lang w:val="en-US" w:eastAsia="zh-CN"/>
                    </w:rPr>
                    <w:t>《污水综合排放标准》（GB8978-1996）三级标准及《污水排入城镇下水道水质标准》（GB/T31962-2015）A级标准，排入市政污水管网。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773"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173"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生物质锅炉</w:t>
                  </w:r>
                </w:p>
              </w:tc>
              <w:tc>
                <w:tcPr>
                  <w:tcW w:w="812"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锅炉废水</w:t>
                  </w:r>
                </w:p>
              </w:tc>
              <w:tc>
                <w:tcPr>
                  <w:tcW w:w="169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盐类、SS</w:t>
                  </w:r>
                </w:p>
              </w:tc>
              <w:tc>
                <w:tcPr>
                  <w:tcW w:w="73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间断</w:t>
                  </w:r>
                </w:p>
              </w:tc>
              <w:tc>
                <w:tcPr>
                  <w:tcW w:w="2131"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773"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173"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软水制备浓水</w:t>
                  </w:r>
                </w:p>
              </w:tc>
              <w:tc>
                <w:tcPr>
                  <w:tcW w:w="812"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浓水</w:t>
                  </w:r>
                </w:p>
              </w:tc>
              <w:tc>
                <w:tcPr>
                  <w:tcW w:w="169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钙镁离子</w:t>
                  </w:r>
                </w:p>
              </w:tc>
              <w:tc>
                <w:tcPr>
                  <w:tcW w:w="73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间断</w:t>
                  </w:r>
                </w:p>
              </w:tc>
              <w:tc>
                <w:tcPr>
                  <w:tcW w:w="2131"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773"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173"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生活污水</w:t>
                  </w:r>
                </w:p>
              </w:tc>
              <w:tc>
                <w:tcPr>
                  <w:tcW w:w="812"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生活污水</w:t>
                  </w:r>
                </w:p>
              </w:tc>
              <w:tc>
                <w:tcPr>
                  <w:tcW w:w="169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COD、BOD</w:t>
                  </w:r>
                  <w:r>
                    <w:rPr>
                      <w:rFonts w:hint="default" w:ascii="Times New Roman" w:hAnsi="Times New Roman" w:eastAsia="宋体" w:cs="Times New Roman"/>
                      <w:color w:val="auto"/>
                      <w:sz w:val="21"/>
                      <w:szCs w:val="21"/>
                      <w:vertAlign w:val="subscript"/>
                      <w:lang w:val="en-US" w:eastAsia="zh-CN"/>
                    </w:rPr>
                    <w:t>5</w:t>
                  </w:r>
                  <w:r>
                    <w:rPr>
                      <w:rFonts w:hint="default" w:ascii="Times New Roman" w:hAnsi="Times New Roman" w:eastAsia="宋体" w:cs="Times New Roman"/>
                      <w:color w:val="auto"/>
                      <w:sz w:val="21"/>
                      <w:szCs w:val="21"/>
                      <w:vertAlign w:val="baseline"/>
                      <w:lang w:val="en-US" w:eastAsia="zh-CN"/>
                    </w:rPr>
                    <w:t>、氨氮、总磷、动植物油、总氮等</w:t>
                  </w:r>
                </w:p>
              </w:tc>
              <w:tc>
                <w:tcPr>
                  <w:tcW w:w="73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间断</w:t>
                  </w:r>
                </w:p>
              </w:tc>
              <w:tc>
                <w:tcPr>
                  <w:tcW w:w="2131"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773"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固废</w:t>
                  </w:r>
                </w:p>
              </w:tc>
              <w:tc>
                <w:tcPr>
                  <w:tcW w:w="1173"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生活、办公区</w:t>
                  </w:r>
                </w:p>
              </w:tc>
              <w:tc>
                <w:tcPr>
                  <w:tcW w:w="812"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生活垃圾</w:t>
                  </w:r>
                </w:p>
              </w:tc>
              <w:tc>
                <w:tcPr>
                  <w:tcW w:w="169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生活垃圾</w:t>
                  </w:r>
                </w:p>
              </w:tc>
              <w:tc>
                <w:tcPr>
                  <w:tcW w:w="73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间断</w:t>
                  </w:r>
                </w:p>
              </w:tc>
              <w:tc>
                <w:tcPr>
                  <w:tcW w:w="2131"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设置垃圾桶收集后，交由当地环卫部门清运处理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773"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173"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化粪池</w:t>
                  </w:r>
                </w:p>
              </w:tc>
              <w:tc>
                <w:tcPr>
                  <w:tcW w:w="812"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污泥</w:t>
                  </w:r>
                </w:p>
              </w:tc>
              <w:tc>
                <w:tcPr>
                  <w:tcW w:w="169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污泥</w:t>
                  </w:r>
                </w:p>
              </w:tc>
              <w:tc>
                <w:tcPr>
                  <w:tcW w:w="73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间断</w:t>
                  </w:r>
                </w:p>
              </w:tc>
              <w:tc>
                <w:tcPr>
                  <w:tcW w:w="2131"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773"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173"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生物质锅炉</w:t>
                  </w:r>
                </w:p>
              </w:tc>
              <w:tc>
                <w:tcPr>
                  <w:tcW w:w="812"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炉渣</w:t>
                  </w:r>
                  <w:r>
                    <w:rPr>
                      <w:rFonts w:hint="eastAsia" w:ascii="Times New Roman" w:hAnsi="Times New Roman" w:eastAsia="宋体" w:cs="Times New Roman"/>
                      <w:color w:val="auto"/>
                      <w:sz w:val="21"/>
                      <w:szCs w:val="21"/>
                      <w:vertAlign w:val="baseline"/>
                      <w:lang w:val="en-US" w:eastAsia="zh-CN"/>
                    </w:rPr>
                    <w:t>、灰渣</w:t>
                  </w:r>
                </w:p>
              </w:tc>
              <w:tc>
                <w:tcPr>
                  <w:tcW w:w="169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炉渣</w:t>
                  </w:r>
                  <w:r>
                    <w:rPr>
                      <w:rFonts w:hint="eastAsia" w:ascii="Times New Roman" w:hAnsi="Times New Roman" w:eastAsia="宋体" w:cs="Times New Roman"/>
                      <w:color w:val="auto"/>
                      <w:sz w:val="21"/>
                      <w:szCs w:val="21"/>
                      <w:vertAlign w:val="baseline"/>
                      <w:lang w:val="en-US" w:eastAsia="zh-CN"/>
                    </w:rPr>
                    <w:t>、灰渣</w:t>
                  </w:r>
                </w:p>
              </w:tc>
              <w:tc>
                <w:tcPr>
                  <w:tcW w:w="73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间断</w:t>
                  </w:r>
                </w:p>
              </w:tc>
              <w:tc>
                <w:tcPr>
                  <w:tcW w:w="2131"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周边农户清运作农肥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773"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173"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原辅材料</w:t>
                  </w:r>
                </w:p>
              </w:tc>
              <w:tc>
                <w:tcPr>
                  <w:tcW w:w="812"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废包装</w:t>
                  </w:r>
                </w:p>
              </w:tc>
              <w:tc>
                <w:tcPr>
                  <w:tcW w:w="169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废包装</w:t>
                  </w:r>
                </w:p>
              </w:tc>
              <w:tc>
                <w:tcPr>
                  <w:tcW w:w="73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间断</w:t>
                  </w:r>
                </w:p>
              </w:tc>
              <w:tc>
                <w:tcPr>
                  <w:tcW w:w="2131"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统一回收外卖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773"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噪声</w:t>
                  </w:r>
                </w:p>
              </w:tc>
              <w:tc>
                <w:tcPr>
                  <w:tcW w:w="1173"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生产设备</w:t>
                  </w:r>
                </w:p>
              </w:tc>
              <w:tc>
                <w:tcPr>
                  <w:tcW w:w="812"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设备噪声</w:t>
                  </w:r>
                </w:p>
              </w:tc>
              <w:tc>
                <w:tcPr>
                  <w:tcW w:w="169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噪声</w:t>
                  </w:r>
                </w:p>
              </w:tc>
              <w:tc>
                <w:tcPr>
                  <w:tcW w:w="73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间断</w:t>
                  </w:r>
                </w:p>
              </w:tc>
              <w:tc>
                <w:tcPr>
                  <w:tcW w:w="2131"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选用低噪声设备，采取减震措施，加强设备的维护保养。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773"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1173"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生物质锅炉</w:t>
                  </w:r>
                </w:p>
              </w:tc>
              <w:tc>
                <w:tcPr>
                  <w:tcW w:w="812"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设备噪声</w:t>
                  </w:r>
                </w:p>
              </w:tc>
              <w:tc>
                <w:tcPr>
                  <w:tcW w:w="169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噪声</w:t>
                  </w:r>
                </w:p>
              </w:tc>
              <w:tc>
                <w:tcPr>
                  <w:tcW w:w="73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间断</w:t>
                  </w:r>
                </w:p>
              </w:tc>
              <w:tc>
                <w:tcPr>
                  <w:tcW w:w="2131"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r>
          </w:tbl>
          <w:p>
            <w:pPr>
              <w:numPr>
                <w:ilvl w:val="0"/>
                <w:numId w:val="0"/>
              </w:numPr>
              <w:bidi w:val="0"/>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tcPr>
          <w:p>
            <w:pPr>
              <w:numPr>
                <w:ilvl w:val="0"/>
                <w:numId w:val="0"/>
              </w:numPr>
              <w:bidi w:val="0"/>
              <w:rPr>
                <w:rFonts w:hint="default"/>
                <w:color w:val="auto"/>
                <w:vertAlign w:val="baseline"/>
                <w:lang w:val="en-US" w:eastAsia="zh-CN"/>
              </w:rPr>
            </w:pPr>
            <w:r>
              <w:rPr>
                <w:rFonts w:hint="eastAsia"/>
                <w:color w:val="auto"/>
                <w:vertAlign w:val="baseline"/>
                <w:lang w:val="en-US" w:eastAsia="zh-CN"/>
              </w:rPr>
              <w:t>与项目有关的原有环境污染问题</w:t>
            </w:r>
          </w:p>
        </w:tc>
        <w:tc>
          <w:tcPr>
            <w:tcW w:w="806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项目为新建项目，不存在与原有项目有关的原有环境问题。根据现场踏勘，目前</w:t>
            </w:r>
            <w:r>
              <w:rPr>
                <w:rFonts w:hint="eastAsia" w:ascii="Times New Roman" w:hAnsi="Times New Roman" w:eastAsia="宋体" w:cs="Times New Roman"/>
                <w:color w:val="auto"/>
                <w:sz w:val="24"/>
                <w:szCs w:val="24"/>
                <w:vertAlign w:val="baseline"/>
                <w:lang w:val="en-US" w:eastAsia="zh-CN"/>
              </w:rPr>
              <w:t>项目已建成</w:t>
            </w:r>
            <w:r>
              <w:rPr>
                <w:rFonts w:hint="default" w:ascii="Times New Roman" w:hAnsi="Times New Roman" w:eastAsia="宋体" w:cs="Times New Roman"/>
                <w:color w:val="auto"/>
                <w:sz w:val="24"/>
                <w:szCs w:val="24"/>
                <w:vertAlign w:val="baseline"/>
                <w:lang w:val="en-US" w:eastAsia="zh-CN"/>
              </w:rPr>
              <w:t>，项目用地均已进行硬化处理，不存在土壤及地下水污染的途径。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存在的问题如下：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①项目已设置锅炉排气筒，但排气筒高度为</w:t>
            </w:r>
            <w:r>
              <w:rPr>
                <w:rFonts w:hint="eastAsia" w:ascii="Times New Roman" w:hAnsi="Times New Roman" w:eastAsia="宋体"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m，未能达到环评要求。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w:t>
            </w:r>
            <w:r>
              <w:rPr>
                <w:rFonts w:hint="eastAsia" w:ascii="Times New Roman" w:hAnsi="Times New Roman" w:eastAsia="宋体" w:cs="Times New Roman"/>
                <w:color w:val="auto"/>
                <w:sz w:val="24"/>
                <w:szCs w:val="24"/>
                <w:lang w:val="en-US" w:eastAsia="zh-CN"/>
              </w:rPr>
              <w:t>目前生产区化粪池容积为45m³，未能满足项目区生产废水的容纳要求。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③项目炉渣露天堆放于厂区北侧，且未对堆放区进行硬化处理措施，有扬尘及雨水冲刷隐患，对周边大气环境及地表水产生污染影响。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环评要求采取措施如下：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①对锅炉排气筒进行加高处理，排气筒高度不低于</w:t>
            </w:r>
            <w:r>
              <w:rPr>
                <w:rFonts w:hint="eastAsia" w:ascii="Times New Roman" w:hAnsi="Times New Roman" w:eastAsia="宋体" w:cs="Times New Roman"/>
                <w:color w:val="auto"/>
                <w:sz w:val="24"/>
                <w:szCs w:val="24"/>
                <w:lang w:val="en-US" w:eastAsia="zh-CN"/>
              </w:rPr>
              <w:t>30</w:t>
            </w:r>
            <w:r>
              <w:rPr>
                <w:rFonts w:hint="default" w:ascii="Times New Roman" w:hAnsi="Times New Roman" w:eastAsia="宋体" w:cs="Times New Roman"/>
                <w:color w:val="auto"/>
                <w:sz w:val="24"/>
                <w:szCs w:val="24"/>
                <w:lang w:val="en-US" w:eastAsia="zh-CN"/>
              </w:rPr>
              <w:t>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w:t>
            </w:r>
            <w:r>
              <w:rPr>
                <w:rFonts w:hint="eastAsia" w:ascii="Times New Roman" w:hAnsi="Times New Roman" w:eastAsia="宋体" w:cs="Times New Roman"/>
                <w:color w:val="auto"/>
                <w:sz w:val="24"/>
                <w:szCs w:val="24"/>
                <w:lang w:val="en-US" w:eastAsia="zh-CN"/>
              </w:rPr>
              <w:t>扩建项目区化粪池容积，生产区化粪池容积不得低于80m³</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③在厂区适当位置设置炉渣暂存间，炉渣进行入室堆放，防止扬尘及雨水冲刷影响。</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tc>
      </w:tr>
    </w:tbl>
    <w:p>
      <w:pPr>
        <w:pStyle w:val="3"/>
        <w:bidi w:val="0"/>
        <w:rPr>
          <w:rFonts w:hint="eastAsia"/>
          <w:lang w:val="en-US" w:eastAsia="zh-CN"/>
        </w:rPr>
      </w:pPr>
      <w:r>
        <w:rPr>
          <w:rFonts w:hint="eastAsia"/>
          <w:lang w:val="en-US" w:eastAsia="zh-CN"/>
        </w:rPr>
        <w:t>三、区域环境质量现状、环境保护目标及评价标准</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tcPr>
          <w:p>
            <w:pPr>
              <w:numPr>
                <w:ilvl w:val="0"/>
                <w:numId w:val="0"/>
              </w:numPr>
              <w:bidi w:val="0"/>
              <w:spacing w:line="360" w:lineRule="auto"/>
              <w:rPr>
                <w:rFonts w:hint="default"/>
                <w:color w:val="auto"/>
                <w:vertAlign w:val="baseline"/>
                <w:lang w:val="en-US" w:eastAsia="zh-CN"/>
              </w:rPr>
            </w:pPr>
            <w:r>
              <w:rPr>
                <w:rFonts w:hint="default" w:ascii="Times New Roman" w:hAnsi="Times New Roman" w:eastAsia="宋体" w:cs="Times New Roman"/>
                <w:color w:val="auto"/>
                <w:sz w:val="24"/>
                <w:szCs w:val="24"/>
                <w:vertAlign w:val="baseline"/>
                <w:lang w:val="en-US" w:eastAsia="zh-CN"/>
              </w:rPr>
              <w:t>区域环境质量现状</w:t>
            </w:r>
          </w:p>
        </w:tc>
        <w:tc>
          <w:tcPr>
            <w:tcW w:w="806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kern w:val="2"/>
                <w:sz w:val="24"/>
                <w:szCs w:val="24"/>
                <w:vertAlign w:val="baseline"/>
                <w:lang w:val="en-US" w:eastAsia="zh-CN" w:bidi="ar-SA"/>
              </w:rPr>
              <w:t>1、</w:t>
            </w:r>
            <w:r>
              <w:rPr>
                <w:rFonts w:hint="default" w:ascii="Times New Roman" w:hAnsi="Times New Roman" w:eastAsia="宋体" w:cs="Times New Roman"/>
                <w:color w:val="auto"/>
                <w:sz w:val="24"/>
                <w:szCs w:val="24"/>
                <w:vertAlign w:val="baseline"/>
                <w:lang w:val="en-US" w:eastAsia="zh-CN"/>
              </w:rPr>
              <w:t>环境空气质量现状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项目位于</w:t>
            </w:r>
            <w:r>
              <w:rPr>
                <w:rFonts w:hint="eastAsia" w:ascii="Times New Roman" w:hAnsi="Times New Roman" w:eastAsia="宋体" w:cs="Times New Roman"/>
                <w:color w:val="auto"/>
                <w:sz w:val="24"/>
                <w:szCs w:val="24"/>
                <w:lang w:val="en-US" w:eastAsia="zh-CN"/>
              </w:rPr>
              <w:t>洱源</w:t>
            </w:r>
            <w:r>
              <w:rPr>
                <w:rFonts w:hint="default" w:ascii="Times New Roman" w:hAnsi="Times New Roman" w:eastAsia="宋体" w:cs="Times New Roman"/>
                <w:color w:val="auto"/>
                <w:sz w:val="24"/>
                <w:szCs w:val="24"/>
                <w:lang w:val="en-US" w:eastAsia="zh-CN"/>
              </w:rPr>
              <w:t>县</w:t>
            </w:r>
            <w:r>
              <w:rPr>
                <w:rFonts w:hint="eastAsia" w:ascii="Times New Roman" w:hAnsi="Times New Roman" w:eastAsia="宋体" w:cs="Times New Roman"/>
                <w:color w:val="auto"/>
                <w:sz w:val="24"/>
                <w:szCs w:val="24"/>
                <w:lang w:val="en-US" w:eastAsia="zh-CN"/>
              </w:rPr>
              <w:t>牛街乡太平</w:t>
            </w:r>
            <w:r>
              <w:rPr>
                <w:rFonts w:hint="default" w:ascii="Times New Roman" w:hAnsi="Times New Roman" w:eastAsia="宋体" w:cs="Times New Roman"/>
                <w:color w:val="auto"/>
                <w:sz w:val="24"/>
                <w:szCs w:val="24"/>
                <w:lang w:val="en-US" w:eastAsia="zh-CN"/>
              </w:rPr>
              <w:t>村，项目区属二类环境空气质量功能区，执行《环境空气质量标准》（GB3095-2012）二级标准。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根据《大理白族自治州202</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年环境状况公报》（202</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年6月5日），202</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年全州环境空气质量总体保持良好，</w:t>
            </w:r>
            <w:r>
              <w:rPr>
                <w:rFonts w:hint="eastAsia" w:ascii="Times New Roman" w:hAnsi="Times New Roman" w:eastAsia="宋体" w:cs="Times New Roman"/>
                <w:color w:val="auto"/>
                <w:sz w:val="24"/>
                <w:szCs w:val="24"/>
                <w:lang w:val="en-US" w:eastAsia="zh-CN"/>
              </w:rPr>
              <w:t>12个县（市）优良天数比例在96.1%-100%之间，平均优良天数比例为98.5%，与上年相比下降1.5个百分点。12个县市6项污染物年均值及相应百分位数浓度值均达到《环境空气质量标准》（GB3095-2012）二级标准要求。其中二氧化硫、二氧化氮、可吸入颗粒物、一氧化碳等环境空气污染物年均值均达到一级标准；细颗粒、臭氧达到二级标准，按县市分别评价，洱源县达到一级标准，其余11个县市均达到二级标准</w:t>
            </w:r>
            <w:r>
              <w:rPr>
                <w:rFonts w:hint="default" w:ascii="Times New Roman" w:hAnsi="Times New Roman" w:eastAsia="宋体" w:cs="Times New Roman"/>
                <w:color w:val="auto"/>
                <w:sz w:val="24"/>
                <w:szCs w:val="24"/>
                <w:lang w:val="en-US" w:eastAsia="zh-CN"/>
              </w:rPr>
              <w:t>。</w:t>
            </w:r>
          </w:p>
          <w:p>
            <w:pPr>
              <w:bidi w:val="0"/>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 xml:space="preserve">表3-1  </w:t>
            </w:r>
            <w:r>
              <w:rPr>
                <w:rFonts w:hint="eastAsia" w:ascii="Times New Roman" w:hAnsi="Times New Roman" w:eastAsia="宋体" w:cs="Times New Roman"/>
                <w:b/>
                <w:bCs/>
                <w:color w:val="auto"/>
                <w:lang w:val="en-US" w:eastAsia="zh-CN"/>
              </w:rPr>
              <w:t>洱源</w:t>
            </w:r>
            <w:r>
              <w:rPr>
                <w:rFonts w:hint="default" w:ascii="Times New Roman" w:hAnsi="Times New Roman" w:eastAsia="宋体" w:cs="Times New Roman"/>
                <w:b/>
                <w:bCs/>
                <w:color w:val="auto"/>
                <w:lang w:val="en-US" w:eastAsia="zh-CN"/>
              </w:rPr>
              <w:t>县环境空气质量情况</w:t>
            </w:r>
          </w:p>
          <w:tbl>
            <w:tblPr>
              <w:tblStyle w:val="7"/>
              <w:tblW w:w="7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662"/>
              <w:gridCol w:w="817"/>
              <w:gridCol w:w="510"/>
              <w:gridCol w:w="705"/>
              <w:gridCol w:w="465"/>
              <w:gridCol w:w="690"/>
              <w:gridCol w:w="500"/>
              <w:gridCol w:w="675"/>
              <w:gridCol w:w="713"/>
              <w:gridCol w:w="700"/>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restar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城市/站点</w:t>
                  </w:r>
                </w:p>
              </w:tc>
              <w:tc>
                <w:tcPr>
                  <w:tcW w:w="6437" w:type="dxa"/>
                  <w:gridSpan w:val="10"/>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污染物（µg/m³，CO为mg/m³）</w:t>
                  </w:r>
                </w:p>
              </w:tc>
              <w:tc>
                <w:tcPr>
                  <w:tcW w:w="659" w:type="dxa"/>
                  <w:vMerge w:val="restar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vAlign w:val="center"/>
                </w:tcPr>
                <w:p>
                  <w:pPr>
                    <w:bidi w:val="0"/>
                    <w:jc w:val="center"/>
                    <w:rPr>
                      <w:rFonts w:hint="default" w:ascii="Times New Roman" w:hAnsi="Times New Roman" w:eastAsia="宋体" w:cs="Times New Roman"/>
                      <w:color w:val="auto"/>
                      <w:sz w:val="21"/>
                      <w:szCs w:val="21"/>
                      <w:lang w:val="en-US" w:eastAsia="zh-CN"/>
                    </w:rPr>
                  </w:pPr>
                </w:p>
              </w:tc>
              <w:tc>
                <w:tcPr>
                  <w:tcW w:w="1479" w:type="dxa"/>
                  <w:gridSpan w:val="2"/>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PM</w:t>
                  </w:r>
                  <w:r>
                    <w:rPr>
                      <w:rFonts w:hint="default" w:ascii="Times New Roman" w:hAnsi="Times New Roman" w:eastAsia="宋体" w:cs="Times New Roman"/>
                      <w:color w:val="auto"/>
                      <w:sz w:val="21"/>
                      <w:szCs w:val="21"/>
                      <w:vertAlign w:val="subscript"/>
                      <w:lang w:val="en-US" w:eastAsia="zh-CN"/>
                    </w:rPr>
                    <w:t>2.5</w:t>
                  </w:r>
                </w:p>
              </w:tc>
              <w:tc>
                <w:tcPr>
                  <w:tcW w:w="1215" w:type="dxa"/>
                  <w:gridSpan w:val="2"/>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PM</w:t>
                  </w:r>
                  <w:r>
                    <w:rPr>
                      <w:rFonts w:hint="default" w:ascii="Times New Roman" w:hAnsi="Times New Roman" w:eastAsia="宋体" w:cs="Times New Roman"/>
                      <w:color w:val="auto"/>
                      <w:sz w:val="21"/>
                      <w:szCs w:val="21"/>
                      <w:vertAlign w:val="subscript"/>
                      <w:lang w:val="en-US" w:eastAsia="zh-CN"/>
                    </w:rPr>
                    <w:t>10</w:t>
                  </w:r>
                </w:p>
              </w:tc>
              <w:tc>
                <w:tcPr>
                  <w:tcW w:w="1155" w:type="dxa"/>
                  <w:gridSpan w:val="2"/>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NO</w:t>
                  </w:r>
                  <w:r>
                    <w:rPr>
                      <w:rFonts w:hint="default" w:ascii="Times New Roman" w:hAnsi="Times New Roman" w:eastAsia="宋体" w:cs="Times New Roman"/>
                      <w:color w:val="auto"/>
                      <w:sz w:val="21"/>
                      <w:szCs w:val="21"/>
                      <w:vertAlign w:val="subscript"/>
                      <w:lang w:val="en-US" w:eastAsia="zh-CN"/>
                    </w:rPr>
                    <w:t>2</w:t>
                  </w:r>
                </w:p>
              </w:tc>
              <w:tc>
                <w:tcPr>
                  <w:tcW w:w="1175" w:type="dxa"/>
                  <w:gridSpan w:val="2"/>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SO</w:t>
                  </w:r>
                  <w:r>
                    <w:rPr>
                      <w:rFonts w:hint="default" w:ascii="Times New Roman" w:hAnsi="Times New Roman" w:eastAsia="宋体" w:cs="Times New Roman"/>
                      <w:color w:val="auto"/>
                      <w:sz w:val="21"/>
                      <w:szCs w:val="21"/>
                      <w:vertAlign w:val="subscript"/>
                      <w:lang w:val="en-US" w:eastAsia="zh-CN"/>
                    </w:rPr>
                    <w:t>2</w:t>
                  </w:r>
                </w:p>
              </w:tc>
              <w:tc>
                <w:tcPr>
                  <w:tcW w:w="713"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CO</w:t>
                  </w:r>
                </w:p>
              </w:tc>
              <w:tc>
                <w:tcPr>
                  <w:tcW w:w="700"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O</w:t>
                  </w:r>
                  <w:r>
                    <w:rPr>
                      <w:rFonts w:hint="default" w:ascii="Times New Roman" w:hAnsi="Times New Roman" w:eastAsia="宋体" w:cs="Times New Roman"/>
                      <w:color w:val="auto"/>
                      <w:sz w:val="21"/>
                      <w:szCs w:val="21"/>
                      <w:vertAlign w:val="subscript"/>
                      <w:lang w:val="en-US" w:eastAsia="zh-CN"/>
                    </w:rPr>
                    <w:t>3</w:t>
                  </w:r>
                </w:p>
              </w:tc>
              <w:tc>
                <w:tcPr>
                  <w:tcW w:w="659" w:type="dxa"/>
                  <w:vMerge w:val="continue"/>
                  <w:vAlign w:val="center"/>
                </w:tcPr>
                <w:p>
                  <w:pPr>
                    <w:bidi w:val="0"/>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Merge w:val="continue"/>
                  <w:vAlign w:val="center"/>
                </w:tcPr>
                <w:p>
                  <w:pPr>
                    <w:bidi w:val="0"/>
                    <w:jc w:val="center"/>
                    <w:rPr>
                      <w:rFonts w:hint="default" w:ascii="Times New Roman" w:hAnsi="Times New Roman" w:eastAsia="宋体" w:cs="Times New Roman"/>
                      <w:color w:val="auto"/>
                      <w:sz w:val="21"/>
                      <w:szCs w:val="21"/>
                      <w:lang w:val="en-US" w:eastAsia="zh-CN"/>
                    </w:rPr>
                  </w:pPr>
                </w:p>
              </w:tc>
              <w:tc>
                <w:tcPr>
                  <w:tcW w:w="662"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年均值</w:t>
                  </w:r>
                </w:p>
              </w:tc>
              <w:tc>
                <w:tcPr>
                  <w:tcW w:w="817"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第95百分位数</w:t>
                  </w:r>
                </w:p>
              </w:tc>
              <w:tc>
                <w:tcPr>
                  <w:tcW w:w="510"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年均值</w:t>
                  </w:r>
                </w:p>
              </w:tc>
              <w:tc>
                <w:tcPr>
                  <w:tcW w:w="705"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第95百分位数</w:t>
                  </w:r>
                </w:p>
              </w:tc>
              <w:tc>
                <w:tcPr>
                  <w:tcW w:w="465"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年均值</w:t>
                  </w:r>
                </w:p>
              </w:tc>
              <w:tc>
                <w:tcPr>
                  <w:tcW w:w="690"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第98百分位数</w:t>
                  </w:r>
                </w:p>
              </w:tc>
              <w:tc>
                <w:tcPr>
                  <w:tcW w:w="500"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年均值</w:t>
                  </w:r>
                </w:p>
              </w:tc>
              <w:tc>
                <w:tcPr>
                  <w:tcW w:w="675"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第98百分位数</w:t>
                  </w:r>
                </w:p>
              </w:tc>
              <w:tc>
                <w:tcPr>
                  <w:tcW w:w="713"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第95百分位数</w:t>
                  </w:r>
                </w:p>
              </w:tc>
              <w:tc>
                <w:tcPr>
                  <w:tcW w:w="700"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第90百分位数</w:t>
                  </w:r>
                </w:p>
              </w:tc>
              <w:tc>
                <w:tcPr>
                  <w:tcW w:w="659" w:type="dxa"/>
                  <w:vMerge w:val="continue"/>
                  <w:vAlign w:val="center"/>
                </w:tcPr>
                <w:p>
                  <w:pPr>
                    <w:bidi w:val="0"/>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洱源</w:t>
                  </w:r>
                </w:p>
              </w:tc>
              <w:tc>
                <w:tcPr>
                  <w:tcW w:w="662"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w:t>
                  </w:r>
                </w:p>
              </w:tc>
              <w:tc>
                <w:tcPr>
                  <w:tcW w:w="81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29</w:t>
                  </w:r>
                </w:p>
              </w:tc>
              <w:tc>
                <w:tcPr>
                  <w:tcW w:w="510"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w:t>
                  </w:r>
                </w:p>
              </w:tc>
              <w:tc>
                <w:tcPr>
                  <w:tcW w:w="705"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43</w:t>
                  </w:r>
                </w:p>
              </w:tc>
              <w:tc>
                <w:tcPr>
                  <w:tcW w:w="465"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w:t>
                  </w:r>
                </w:p>
              </w:tc>
              <w:tc>
                <w:tcPr>
                  <w:tcW w:w="690"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17</w:t>
                  </w:r>
                </w:p>
              </w:tc>
              <w:tc>
                <w:tcPr>
                  <w:tcW w:w="500"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675"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c>
                <w:tcPr>
                  <w:tcW w:w="713"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0.8</w:t>
                  </w:r>
                </w:p>
              </w:tc>
              <w:tc>
                <w:tcPr>
                  <w:tcW w:w="700"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95</w:t>
                  </w:r>
                </w:p>
              </w:tc>
              <w:tc>
                <w:tcPr>
                  <w:tcW w:w="659"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一</w:t>
                  </w:r>
                  <w:r>
                    <w:rPr>
                      <w:rFonts w:hint="default" w:ascii="Times New Roman" w:hAnsi="Times New Roman" w:eastAsia="宋体" w:cs="Times New Roman"/>
                      <w:color w:val="auto"/>
                      <w:sz w:val="21"/>
                      <w:szCs w:val="21"/>
                      <w:lang w:val="en-US" w:eastAsia="zh-CN"/>
                    </w:rPr>
                    <w:t>级</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2、</w:t>
            </w:r>
            <w:r>
              <w:rPr>
                <w:rFonts w:hint="default" w:ascii="Times New Roman" w:hAnsi="Times New Roman" w:eastAsia="宋体" w:cs="Times New Roman"/>
                <w:color w:val="auto"/>
                <w:sz w:val="24"/>
                <w:szCs w:val="24"/>
                <w:lang w:val="en-US" w:eastAsia="zh-CN"/>
              </w:rPr>
              <w:t>地表水环境质量现状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color w:val="auto"/>
                <w:sz w:val="24"/>
                <w:szCs w:val="24"/>
                <w:lang w:val="en-US" w:eastAsia="zh-CN"/>
              </w:rPr>
              <w:t>项目所在区域最近水体为</w:t>
            </w:r>
            <w:r>
              <w:rPr>
                <w:rFonts w:hint="eastAsia"/>
                <w:color w:val="auto"/>
                <w:sz w:val="24"/>
                <w:szCs w:val="24"/>
                <w:lang w:val="en-US" w:eastAsia="zh-CN"/>
              </w:rPr>
              <w:t>西</w:t>
            </w:r>
            <w:r>
              <w:rPr>
                <w:rFonts w:hint="default"/>
                <w:color w:val="auto"/>
                <w:sz w:val="24"/>
                <w:szCs w:val="24"/>
                <w:lang w:val="en-US" w:eastAsia="zh-CN"/>
              </w:rPr>
              <w:t>侧</w:t>
            </w:r>
            <w:r>
              <w:rPr>
                <w:rFonts w:hint="eastAsia"/>
                <w:color w:val="auto"/>
                <w:sz w:val="24"/>
                <w:szCs w:val="24"/>
                <w:lang w:val="en-US" w:eastAsia="zh-CN"/>
              </w:rPr>
              <w:t>2600</w:t>
            </w:r>
            <w:r>
              <w:rPr>
                <w:rFonts w:hint="default"/>
                <w:color w:val="auto"/>
                <w:sz w:val="24"/>
                <w:szCs w:val="24"/>
                <w:lang w:val="en-US" w:eastAsia="zh-CN"/>
              </w:rPr>
              <w:t>m处的</w:t>
            </w:r>
            <w:r>
              <w:rPr>
                <w:rFonts w:hint="eastAsia"/>
                <w:color w:val="auto"/>
                <w:sz w:val="24"/>
                <w:szCs w:val="24"/>
                <w:lang w:val="en-US" w:eastAsia="zh-CN"/>
              </w:rPr>
              <w:t>海西海水库。</w:t>
            </w:r>
            <w:r>
              <w:rPr>
                <w:rFonts w:hint="default"/>
                <w:color w:val="auto"/>
                <w:sz w:val="24"/>
                <w:szCs w:val="24"/>
                <w:lang w:val="en-US" w:eastAsia="zh-CN"/>
              </w:rPr>
              <w:t>根据云南省水利厅《云南省水功能区划（201</w:t>
            </w:r>
            <w:r>
              <w:rPr>
                <w:rFonts w:hint="eastAsia"/>
                <w:color w:val="auto"/>
                <w:sz w:val="24"/>
                <w:szCs w:val="24"/>
                <w:lang w:val="en-US" w:eastAsia="zh-CN"/>
              </w:rPr>
              <w:t>4</w:t>
            </w:r>
            <w:r>
              <w:rPr>
                <w:rFonts w:hint="default"/>
                <w:color w:val="auto"/>
                <w:sz w:val="24"/>
                <w:szCs w:val="24"/>
                <w:lang w:val="en-US" w:eastAsia="zh-CN"/>
              </w:rPr>
              <w:t>年修订）》</w:t>
            </w:r>
            <w:r>
              <w:rPr>
                <w:rFonts w:hint="eastAsia"/>
                <w:color w:val="auto"/>
                <w:sz w:val="24"/>
                <w:szCs w:val="24"/>
                <w:lang w:val="en-US" w:eastAsia="zh-CN"/>
              </w:rPr>
              <w:t>，海西海水库洱源农业、渔业、饮用用水区：海西海水库位于牛街乡西北，距县城24km，总库容6185万m³，年农业供水量2617万m³，灌溉面积75000亩，现状水质</w:t>
            </w:r>
            <w:r>
              <w:rPr>
                <w:rFonts w:hint="eastAsia" w:ascii="宋体" w:hAnsi="宋体" w:eastAsia="宋体" w:cs="宋体"/>
                <w:color w:val="auto"/>
                <w:sz w:val="24"/>
                <w:szCs w:val="24"/>
                <w:lang w:val="en-US" w:eastAsia="zh-CN"/>
              </w:rPr>
              <w:t>Ⅱ</w:t>
            </w:r>
            <w:r>
              <w:rPr>
                <w:rFonts w:hint="eastAsia"/>
                <w:color w:val="auto"/>
                <w:sz w:val="24"/>
                <w:szCs w:val="24"/>
                <w:lang w:val="en-US" w:eastAsia="zh-CN"/>
              </w:rPr>
              <w:t>类，规划水平年水质目标</w:t>
            </w:r>
            <w:r>
              <w:rPr>
                <w:rFonts w:hint="eastAsia" w:ascii="宋体" w:hAnsi="宋体" w:eastAsia="宋体" w:cs="宋体"/>
                <w:color w:val="auto"/>
                <w:sz w:val="24"/>
                <w:szCs w:val="24"/>
                <w:lang w:val="en-US" w:eastAsia="zh-CN"/>
              </w:rPr>
              <w:t>Ⅱ</w:t>
            </w:r>
            <w:r>
              <w:rPr>
                <w:rFonts w:hint="eastAsia"/>
                <w:color w:val="auto"/>
                <w:sz w:val="24"/>
                <w:szCs w:val="24"/>
                <w:lang w:val="en-US" w:eastAsia="zh-CN"/>
              </w:rPr>
              <w:t>类。故项目区域地表水环境质量标准执行《地表水环境质量标准》（GB3838-2002）</w:t>
            </w:r>
            <w:r>
              <w:rPr>
                <w:rFonts w:hint="eastAsia" w:ascii="宋体" w:hAnsi="宋体" w:eastAsia="宋体" w:cs="宋体"/>
                <w:color w:val="auto"/>
                <w:sz w:val="24"/>
                <w:szCs w:val="24"/>
                <w:lang w:val="en-US" w:eastAsia="zh-CN"/>
              </w:rPr>
              <w:t>Ⅱ</w:t>
            </w:r>
            <w:r>
              <w:rPr>
                <w:rFonts w:hint="eastAsia"/>
                <w:color w:val="auto"/>
                <w:sz w:val="24"/>
                <w:szCs w:val="24"/>
                <w:lang w:val="en-US" w:eastAsia="zh-CN"/>
              </w:rPr>
              <w:t>类水质标准。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w:t>
            </w:r>
            <w:r>
              <w:rPr>
                <w:rFonts w:hint="eastAsia" w:ascii="Times New Roman" w:hAnsi="Times New Roman" w:eastAsia="宋体" w:cs="Times New Roman"/>
                <w:color w:val="auto"/>
                <w:sz w:val="24"/>
                <w:szCs w:val="24"/>
                <w:lang w:val="en-US" w:eastAsia="zh-CN"/>
              </w:rPr>
              <w:t>大理白族自治州2023年环境状况公报</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2024年06月05日），2023年大理州各级生态环境监测站分别对州内澜沧江、长江、红河等三大水系的8个湖泊、27条河流进行了水环境质量监测，共设65个测点，其中湖库设26个测点，河流设39个测点。监测结果评价执行国家《地表水环境质量标准》（GB3838-2002），评价方法为《地表水环境质量评价办法（试行）》（环办2011[22]号），评价指标为《地表水环境质量标准》（GB3838-2002）中表1除水温、总氮、粪大肠菌群以外的21项指标。洱海流域内的测点有34个，海西海水质类别符合</w:t>
            </w:r>
            <w:r>
              <w:rPr>
                <w:rFonts w:hint="eastAsia" w:ascii="宋体" w:hAnsi="宋体" w:eastAsia="宋体" w:cs="宋体"/>
                <w:color w:val="auto"/>
                <w:sz w:val="24"/>
                <w:szCs w:val="24"/>
                <w:lang w:val="en-US" w:eastAsia="zh-CN"/>
              </w:rPr>
              <w:t>Ⅱ</w:t>
            </w:r>
            <w:r>
              <w:rPr>
                <w:rFonts w:hint="eastAsia" w:ascii="Times New Roman" w:hAnsi="Times New Roman" w:eastAsia="宋体" w:cs="Times New Roman"/>
                <w:color w:val="auto"/>
                <w:sz w:val="24"/>
                <w:szCs w:val="24"/>
                <w:lang w:val="en-US" w:eastAsia="zh-CN"/>
              </w:rPr>
              <w:t>类标准，</w:t>
            </w:r>
            <w:r>
              <w:rPr>
                <w:rFonts w:hint="default" w:ascii="Times New Roman" w:hAnsi="Times New Roman" w:eastAsia="宋体" w:cs="Times New Roman"/>
                <w:color w:val="auto"/>
                <w:sz w:val="24"/>
                <w:szCs w:val="24"/>
                <w:lang w:val="en-US" w:eastAsia="zh-CN"/>
              </w:rPr>
              <w:t>地表水水质质量现状较好。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3、</w:t>
            </w:r>
            <w:r>
              <w:rPr>
                <w:rFonts w:hint="default" w:ascii="Times New Roman" w:hAnsi="Times New Roman" w:eastAsia="宋体" w:cs="Times New Roman"/>
                <w:color w:val="auto"/>
                <w:sz w:val="24"/>
                <w:szCs w:val="24"/>
                <w:lang w:val="en-US" w:eastAsia="zh-CN"/>
              </w:rPr>
              <w:t>声环境质量现状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项目所在区域位于云南省大理州</w:t>
            </w:r>
            <w:r>
              <w:rPr>
                <w:rFonts w:hint="eastAsia" w:ascii="Times New Roman" w:hAnsi="Times New Roman" w:eastAsia="宋体" w:cs="Times New Roman"/>
                <w:color w:val="auto"/>
                <w:sz w:val="24"/>
                <w:szCs w:val="24"/>
                <w:lang w:val="en-US" w:eastAsia="zh-CN"/>
              </w:rPr>
              <w:t>洱源</w:t>
            </w:r>
            <w:r>
              <w:rPr>
                <w:rFonts w:hint="default" w:ascii="Times New Roman" w:hAnsi="Times New Roman" w:eastAsia="宋体" w:cs="Times New Roman"/>
                <w:color w:val="auto"/>
                <w:sz w:val="24"/>
                <w:szCs w:val="24"/>
                <w:lang w:val="en-US" w:eastAsia="zh-CN"/>
              </w:rPr>
              <w:t>县</w:t>
            </w:r>
            <w:r>
              <w:rPr>
                <w:rFonts w:hint="eastAsia" w:ascii="Times New Roman" w:hAnsi="Times New Roman" w:eastAsia="宋体" w:cs="Times New Roman"/>
                <w:color w:val="auto"/>
                <w:sz w:val="24"/>
                <w:szCs w:val="24"/>
                <w:lang w:val="en-US" w:eastAsia="zh-CN"/>
              </w:rPr>
              <w:t>牛街乡太平</w:t>
            </w:r>
            <w:r>
              <w:rPr>
                <w:rFonts w:hint="default" w:ascii="Times New Roman" w:hAnsi="Times New Roman" w:eastAsia="宋体" w:cs="Times New Roman"/>
                <w:color w:val="auto"/>
                <w:sz w:val="24"/>
                <w:szCs w:val="24"/>
                <w:lang w:val="en-US" w:eastAsia="zh-CN"/>
              </w:rPr>
              <w:t>村，区域声环境执行《声环境质量标准》（GB3096-2008）2类标准。</w:t>
            </w:r>
            <w:r>
              <w:rPr>
                <w:rFonts w:hint="eastAsia" w:ascii="Times New Roman" w:hAnsi="Times New Roman" w:eastAsia="宋体" w:cs="Times New Roman"/>
                <w:color w:val="auto"/>
                <w:sz w:val="24"/>
                <w:szCs w:val="24"/>
                <w:lang w:val="en-US" w:eastAsia="zh-CN"/>
              </w:rPr>
              <w:t>项目周围无大的噪声污染源，由于周边植被覆盖面大，经距离衰减及植被吸附后，噪声将大大降低，总体来说对区域环境质量影响较小，区域声环境质量较好。根据《建设项目环境影响报告表编制技术指南（污染影响类）》，项目区50m范围内无居民敏感区，本项目可不开展噪声环境现状监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4、土壤、地下水环境质量现状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项目位于</w:t>
            </w:r>
            <w:r>
              <w:rPr>
                <w:rFonts w:hint="eastAsia" w:ascii="Times New Roman" w:hAnsi="Times New Roman" w:eastAsia="宋体" w:cs="Times New Roman"/>
                <w:color w:val="auto"/>
                <w:sz w:val="24"/>
                <w:szCs w:val="24"/>
                <w:lang w:val="en-US" w:eastAsia="zh-CN"/>
              </w:rPr>
              <w:t>洱源</w:t>
            </w:r>
            <w:r>
              <w:rPr>
                <w:rFonts w:hint="default" w:ascii="Times New Roman" w:hAnsi="Times New Roman" w:eastAsia="宋体" w:cs="Times New Roman"/>
                <w:color w:val="auto"/>
                <w:sz w:val="24"/>
                <w:szCs w:val="24"/>
                <w:lang w:val="en-US" w:eastAsia="zh-CN"/>
              </w:rPr>
              <w:t>县</w:t>
            </w:r>
            <w:r>
              <w:rPr>
                <w:rFonts w:hint="eastAsia" w:ascii="Times New Roman" w:hAnsi="Times New Roman" w:eastAsia="宋体" w:cs="Times New Roman"/>
                <w:color w:val="auto"/>
                <w:sz w:val="24"/>
                <w:szCs w:val="24"/>
                <w:lang w:val="en-US" w:eastAsia="zh-CN"/>
              </w:rPr>
              <w:t>牛街乡太平</w:t>
            </w:r>
            <w:r>
              <w:rPr>
                <w:rFonts w:hint="default" w:ascii="Times New Roman" w:hAnsi="Times New Roman" w:eastAsia="宋体" w:cs="Times New Roman"/>
                <w:color w:val="auto"/>
                <w:sz w:val="24"/>
                <w:szCs w:val="24"/>
                <w:lang w:val="en-US" w:eastAsia="zh-CN"/>
              </w:rPr>
              <w:t>村，根据《建设项目环境影响报告表编制技术指南（污染影响类）（试行）》，项目可不开展土壤、地下水环境现状调查，故不再对土壤环境质量进行现状描述。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5、生态环境质量现状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auto"/>
                <w:lang w:val="en-US" w:eastAsia="zh-CN"/>
              </w:rPr>
            </w:pPr>
            <w:r>
              <w:rPr>
                <w:rFonts w:hint="default" w:ascii="Times New Roman" w:hAnsi="Times New Roman" w:eastAsia="宋体" w:cs="Times New Roman"/>
                <w:color w:val="auto"/>
                <w:sz w:val="24"/>
                <w:szCs w:val="24"/>
                <w:lang w:val="en-US" w:eastAsia="zh-CN"/>
              </w:rPr>
              <w:t>项目位于</w:t>
            </w:r>
            <w:r>
              <w:rPr>
                <w:rFonts w:hint="eastAsia" w:ascii="Times New Roman" w:hAnsi="Times New Roman" w:eastAsia="宋体" w:cs="Times New Roman"/>
                <w:color w:val="auto"/>
                <w:sz w:val="24"/>
                <w:szCs w:val="24"/>
                <w:lang w:val="en-US" w:eastAsia="zh-CN"/>
              </w:rPr>
              <w:t>洱源</w:t>
            </w:r>
            <w:r>
              <w:rPr>
                <w:rFonts w:hint="default" w:ascii="Times New Roman" w:hAnsi="Times New Roman" w:eastAsia="宋体" w:cs="Times New Roman"/>
                <w:color w:val="auto"/>
                <w:sz w:val="24"/>
                <w:szCs w:val="24"/>
                <w:lang w:val="en-US" w:eastAsia="zh-CN"/>
              </w:rPr>
              <w:t>县</w:t>
            </w:r>
            <w:r>
              <w:rPr>
                <w:rFonts w:hint="eastAsia" w:ascii="Times New Roman" w:hAnsi="Times New Roman" w:eastAsia="宋体" w:cs="Times New Roman"/>
                <w:color w:val="auto"/>
                <w:sz w:val="24"/>
                <w:szCs w:val="24"/>
                <w:lang w:val="en-US" w:eastAsia="zh-CN"/>
              </w:rPr>
              <w:t>牛街乡太平</w:t>
            </w:r>
            <w:r>
              <w:rPr>
                <w:rFonts w:hint="default" w:ascii="Times New Roman" w:hAnsi="Times New Roman" w:eastAsia="宋体" w:cs="Times New Roman"/>
                <w:color w:val="auto"/>
                <w:sz w:val="24"/>
                <w:szCs w:val="24"/>
                <w:lang w:val="en-US" w:eastAsia="zh-CN"/>
              </w:rPr>
              <w:t>村，根据现场踏勘，项目已建成，厂房位置已进行平整硬化。项目区域无国家和云南省重点保护和珍稀濒危野生动物分布，不涉及自然保护区、风景名胜区、集中式饮用水水源保护区等环境敏感问题，目前生态环境状况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tcPr>
          <w:p>
            <w:pPr>
              <w:numPr>
                <w:ilvl w:val="0"/>
                <w:numId w:val="0"/>
              </w:numPr>
              <w:bidi w:val="0"/>
              <w:rPr>
                <w:rFonts w:hint="default"/>
                <w:color w:val="auto"/>
                <w:vertAlign w:val="baseline"/>
                <w:lang w:val="en-US" w:eastAsia="zh-CN"/>
              </w:rPr>
            </w:pPr>
            <w:r>
              <w:rPr>
                <w:rFonts w:hint="eastAsia"/>
                <w:color w:val="auto"/>
                <w:vertAlign w:val="baseline"/>
                <w:lang w:val="en-US" w:eastAsia="zh-CN"/>
              </w:rPr>
              <w:t>环境保护目标</w:t>
            </w:r>
          </w:p>
        </w:tc>
        <w:tc>
          <w:tcPr>
            <w:tcW w:w="806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大气环境：保护评价区500m范围内的环境空气质量达到《环境空气质量标准》（GB3095-2012）二级标准及其2018年修改单，使项目所在区域不因项目而受到明显影响。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声环境：保护评价区50m范围内声环境符合《声环境质量标准》（GB3096-2008）中2类标准。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地表水环境：项目</w:t>
            </w:r>
            <w:r>
              <w:rPr>
                <w:rFonts w:hint="eastAsia" w:ascii="Times New Roman" w:hAnsi="Times New Roman" w:eastAsia="宋体" w:cs="Times New Roman"/>
                <w:color w:val="auto"/>
                <w:sz w:val="24"/>
                <w:szCs w:val="24"/>
                <w:lang w:val="en-US" w:eastAsia="zh-CN"/>
              </w:rPr>
              <w:t>西</w:t>
            </w:r>
            <w:r>
              <w:rPr>
                <w:rFonts w:hint="default" w:ascii="Times New Roman" w:hAnsi="Times New Roman" w:eastAsia="宋体" w:cs="Times New Roman"/>
                <w:color w:val="auto"/>
                <w:sz w:val="24"/>
                <w:szCs w:val="24"/>
                <w:lang w:val="en-US" w:eastAsia="zh-CN"/>
              </w:rPr>
              <w:t>侧</w:t>
            </w:r>
            <w:r>
              <w:rPr>
                <w:rFonts w:hint="eastAsia" w:ascii="Times New Roman" w:hAnsi="Times New Roman" w:eastAsia="宋体" w:cs="Times New Roman"/>
                <w:color w:val="auto"/>
                <w:sz w:val="24"/>
                <w:szCs w:val="24"/>
                <w:lang w:val="en-US" w:eastAsia="zh-CN"/>
              </w:rPr>
              <w:t>2600</w:t>
            </w:r>
            <w:r>
              <w:rPr>
                <w:rFonts w:hint="default" w:ascii="Times New Roman" w:hAnsi="Times New Roman" w:eastAsia="宋体" w:cs="Times New Roman"/>
                <w:color w:val="auto"/>
                <w:sz w:val="24"/>
                <w:szCs w:val="24"/>
                <w:lang w:val="en-US" w:eastAsia="zh-CN"/>
              </w:rPr>
              <w:t>m处为</w:t>
            </w:r>
            <w:r>
              <w:rPr>
                <w:rFonts w:hint="eastAsia" w:ascii="Times New Roman" w:hAnsi="Times New Roman" w:eastAsia="宋体" w:cs="Times New Roman"/>
                <w:color w:val="auto"/>
                <w:sz w:val="24"/>
                <w:szCs w:val="24"/>
                <w:lang w:val="en-US" w:eastAsia="zh-CN"/>
              </w:rPr>
              <w:t>海西海</w:t>
            </w:r>
            <w:r>
              <w:rPr>
                <w:rFonts w:hint="default" w:ascii="Times New Roman" w:hAnsi="Times New Roman" w:eastAsia="宋体" w:cs="Times New Roman"/>
                <w:color w:val="auto"/>
                <w:sz w:val="24"/>
                <w:szCs w:val="24"/>
                <w:lang w:val="en-US" w:eastAsia="zh-CN"/>
              </w:rPr>
              <w:t>，执行《地表水环境质量标准》（GB3838-2002）</w:t>
            </w:r>
            <w:r>
              <w:rPr>
                <w:rFonts w:hint="eastAsia" w:ascii="宋体" w:hAnsi="宋体" w:eastAsia="宋体" w:cs="宋体"/>
                <w:color w:val="auto"/>
                <w:sz w:val="24"/>
                <w:szCs w:val="24"/>
                <w:lang w:val="en-US" w:eastAsia="zh-CN"/>
              </w:rPr>
              <w:t>Ⅱ</w:t>
            </w:r>
            <w:r>
              <w:rPr>
                <w:rFonts w:hint="default" w:ascii="Times New Roman" w:hAnsi="Times New Roman" w:eastAsia="宋体" w:cs="Times New Roman"/>
                <w:color w:val="auto"/>
                <w:sz w:val="24"/>
                <w:szCs w:val="24"/>
                <w:lang w:val="en-US" w:eastAsia="zh-CN"/>
              </w:rPr>
              <w:t>类标准。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地下水环境：项目厂界外500m范围内无地下水集中饮用水水源，热水、矿泉水、温泉等特殊地下水保护目标。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生态环境：保护项目建设地块的生态环境，使其能实现生态环境的良性循环，不对现有的生态环境造成大面积破坏。</w:t>
            </w:r>
          </w:p>
          <w:p>
            <w:pPr>
              <w:bidi w:val="0"/>
              <w:jc w:val="center"/>
              <w:rPr>
                <w:rFonts w:hint="eastAsia"/>
                <w:b/>
                <w:bCs/>
                <w:color w:val="auto"/>
                <w:lang w:val="en-US" w:eastAsia="zh-CN"/>
              </w:rPr>
            </w:pPr>
            <w:r>
              <w:rPr>
                <w:rFonts w:hint="eastAsia"/>
                <w:b/>
                <w:bCs/>
                <w:color w:val="auto"/>
                <w:lang w:val="en-US" w:eastAsia="zh-CN"/>
              </w:rPr>
              <w:t>表3-3  项目环境保护目标表</w:t>
            </w:r>
          </w:p>
          <w:tbl>
            <w:tblPr>
              <w:tblStyle w:val="7"/>
              <w:tblW w:w="7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700"/>
              <w:gridCol w:w="1472"/>
              <w:gridCol w:w="1364"/>
              <w:gridCol w:w="1076"/>
              <w:gridCol w:w="838"/>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Merge w:val="restart"/>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保护类型</w:t>
                  </w:r>
                </w:p>
              </w:tc>
              <w:tc>
                <w:tcPr>
                  <w:tcW w:w="700" w:type="dxa"/>
                  <w:vMerge w:val="restart"/>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保护目标名称</w:t>
                  </w:r>
                </w:p>
              </w:tc>
              <w:tc>
                <w:tcPr>
                  <w:tcW w:w="2836" w:type="dxa"/>
                  <w:gridSpan w:val="2"/>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坐标</w:t>
                  </w:r>
                </w:p>
              </w:tc>
              <w:tc>
                <w:tcPr>
                  <w:tcW w:w="1076" w:type="dxa"/>
                  <w:vMerge w:val="restart"/>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与厂区的位置关系</w:t>
                  </w:r>
                </w:p>
              </w:tc>
              <w:tc>
                <w:tcPr>
                  <w:tcW w:w="838" w:type="dxa"/>
                  <w:vMerge w:val="restart"/>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保护内容</w:t>
                  </w:r>
                </w:p>
              </w:tc>
              <w:tc>
                <w:tcPr>
                  <w:tcW w:w="1799" w:type="dxa"/>
                  <w:vMerge w:val="restart"/>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Merge w:val="continue"/>
                  <w:vAlign w:val="center"/>
                </w:tcPr>
                <w:p>
                  <w:pPr>
                    <w:bidi w:val="0"/>
                    <w:jc w:val="center"/>
                    <w:rPr>
                      <w:rFonts w:hint="default"/>
                      <w:color w:val="auto"/>
                      <w:vertAlign w:val="baseline"/>
                      <w:lang w:val="en-US" w:eastAsia="zh-CN"/>
                    </w:rPr>
                  </w:pPr>
                </w:p>
              </w:tc>
              <w:tc>
                <w:tcPr>
                  <w:tcW w:w="700" w:type="dxa"/>
                  <w:vMerge w:val="continue"/>
                  <w:vAlign w:val="center"/>
                </w:tcPr>
                <w:p>
                  <w:pPr>
                    <w:bidi w:val="0"/>
                    <w:jc w:val="center"/>
                    <w:rPr>
                      <w:rFonts w:hint="default"/>
                      <w:color w:val="auto"/>
                      <w:vertAlign w:val="baseline"/>
                      <w:lang w:val="en-US" w:eastAsia="zh-CN"/>
                    </w:rPr>
                  </w:pPr>
                </w:p>
              </w:tc>
              <w:tc>
                <w:tcPr>
                  <w:tcW w:w="1472"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东经</w:t>
                  </w:r>
                </w:p>
              </w:tc>
              <w:tc>
                <w:tcPr>
                  <w:tcW w:w="1364"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北纬</w:t>
                  </w:r>
                </w:p>
              </w:tc>
              <w:tc>
                <w:tcPr>
                  <w:tcW w:w="1076" w:type="dxa"/>
                  <w:vMerge w:val="continue"/>
                  <w:vAlign w:val="center"/>
                </w:tcPr>
                <w:p>
                  <w:pPr>
                    <w:bidi w:val="0"/>
                    <w:jc w:val="center"/>
                    <w:rPr>
                      <w:rFonts w:hint="default"/>
                      <w:color w:val="auto"/>
                      <w:vertAlign w:val="baseline"/>
                      <w:lang w:val="en-US" w:eastAsia="zh-CN"/>
                    </w:rPr>
                  </w:pPr>
                </w:p>
              </w:tc>
              <w:tc>
                <w:tcPr>
                  <w:tcW w:w="838" w:type="dxa"/>
                  <w:vMerge w:val="continue"/>
                  <w:vAlign w:val="center"/>
                </w:tcPr>
                <w:p>
                  <w:pPr>
                    <w:bidi w:val="0"/>
                    <w:jc w:val="center"/>
                    <w:rPr>
                      <w:rFonts w:hint="default"/>
                      <w:color w:val="auto"/>
                      <w:vertAlign w:val="baseline"/>
                      <w:lang w:val="en-US" w:eastAsia="zh-CN"/>
                    </w:rPr>
                  </w:pPr>
                </w:p>
              </w:tc>
              <w:tc>
                <w:tcPr>
                  <w:tcW w:w="1799" w:type="dxa"/>
                  <w:vMerge w:val="continue"/>
                  <w:vAlign w:val="center"/>
                </w:tcPr>
                <w:p>
                  <w:pPr>
                    <w:bidi w:val="0"/>
                    <w:jc w:val="center"/>
                    <w:rPr>
                      <w:rFonts w:hint="default"/>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Merge w:val="restart"/>
                  <w:vAlign w:val="center"/>
                </w:tcPr>
                <w:p>
                  <w:pPr>
                    <w:bidi w:val="0"/>
                    <w:jc w:val="center"/>
                    <w:rPr>
                      <w:rFonts w:hint="default"/>
                      <w:color w:val="auto"/>
                      <w:vertAlign w:val="baseline"/>
                      <w:lang w:val="en-US" w:eastAsia="zh-CN"/>
                    </w:rPr>
                  </w:pPr>
                  <w:r>
                    <w:rPr>
                      <w:rFonts w:hint="eastAsia"/>
                      <w:color w:val="auto"/>
                      <w:vertAlign w:val="baseline"/>
                      <w:lang w:val="en-US" w:eastAsia="zh-CN"/>
                    </w:rPr>
                    <w:t>环境空气</w:t>
                  </w:r>
                </w:p>
              </w:tc>
              <w:tc>
                <w:tcPr>
                  <w:tcW w:w="700"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太平村</w:t>
                  </w:r>
                </w:p>
              </w:tc>
              <w:tc>
                <w:tcPr>
                  <w:tcW w:w="1472"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100.00197887</w:t>
                  </w:r>
                </w:p>
              </w:tc>
              <w:tc>
                <w:tcPr>
                  <w:tcW w:w="1364"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26.28773015</w:t>
                  </w:r>
                </w:p>
              </w:tc>
              <w:tc>
                <w:tcPr>
                  <w:tcW w:w="1076"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西北侧68m</w:t>
                  </w:r>
                </w:p>
              </w:tc>
              <w:tc>
                <w:tcPr>
                  <w:tcW w:w="838"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1户6人</w:t>
                  </w:r>
                </w:p>
              </w:tc>
              <w:tc>
                <w:tcPr>
                  <w:tcW w:w="1799" w:type="dxa"/>
                  <w:vMerge w:val="restart"/>
                  <w:vAlign w:val="center"/>
                </w:tcPr>
                <w:p>
                  <w:pPr>
                    <w:bidi w:val="0"/>
                    <w:jc w:val="center"/>
                    <w:rPr>
                      <w:rFonts w:hint="default"/>
                      <w:color w:val="auto"/>
                      <w:vertAlign w:val="baseline"/>
                      <w:lang w:val="en-US" w:eastAsia="zh-CN"/>
                    </w:rPr>
                  </w:pPr>
                  <w:r>
                    <w:rPr>
                      <w:rFonts w:hint="eastAsia"/>
                      <w:color w:val="auto"/>
                      <w:vertAlign w:val="baseline"/>
                      <w:lang w:val="en-US" w:eastAsia="zh-CN"/>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Merge w:val="continue"/>
                  <w:vAlign w:val="center"/>
                </w:tcPr>
                <w:p>
                  <w:pPr>
                    <w:bidi w:val="0"/>
                    <w:jc w:val="center"/>
                    <w:rPr>
                      <w:rFonts w:hint="eastAsia"/>
                      <w:color w:val="auto"/>
                      <w:vertAlign w:val="baseline"/>
                      <w:lang w:val="en-US" w:eastAsia="zh-CN"/>
                    </w:rPr>
                  </w:pPr>
                </w:p>
              </w:tc>
              <w:tc>
                <w:tcPr>
                  <w:tcW w:w="700"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太平村</w:t>
                  </w:r>
                </w:p>
              </w:tc>
              <w:tc>
                <w:tcPr>
                  <w:tcW w:w="1472"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100.00003695</w:t>
                  </w:r>
                </w:p>
              </w:tc>
              <w:tc>
                <w:tcPr>
                  <w:tcW w:w="1364"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26.28905761</w:t>
                  </w:r>
                </w:p>
              </w:tc>
              <w:tc>
                <w:tcPr>
                  <w:tcW w:w="1076"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西、西北、西南、南侧33-500m</w:t>
                  </w:r>
                </w:p>
              </w:tc>
              <w:tc>
                <w:tcPr>
                  <w:tcW w:w="838"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265户，1060人</w:t>
                  </w:r>
                </w:p>
              </w:tc>
              <w:tc>
                <w:tcPr>
                  <w:tcW w:w="1799" w:type="dxa"/>
                  <w:vMerge w:val="continue"/>
                  <w:vAlign w:val="center"/>
                </w:tcPr>
                <w:p>
                  <w:pPr>
                    <w:bidi w:val="0"/>
                    <w:jc w:val="center"/>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bidi w:val="0"/>
                    <w:jc w:val="center"/>
                    <w:rPr>
                      <w:rFonts w:hint="eastAsia"/>
                      <w:color w:val="auto"/>
                      <w:vertAlign w:val="baseline"/>
                      <w:lang w:val="en-US" w:eastAsia="zh-CN"/>
                    </w:rPr>
                  </w:pPr>
                  <w:r>
                    <w:rPr>
                      <w:rFonts w:hint="eastAsia"/>
                      <w:color w:val="auto"/>
                      <w:vertAlign w:val="baseline"/>
                      <w:lang w:val="en-US" w:eastAsia="zh-CN"/>
                    </w:rPr>
                    <w:t>地表水</w:t>
                  </w:r>
                </w:p>
              </w:tc>
              <w:tc>
                <w:tcPr>
                  <w:tcW w:w="700" w:type="dxa"/>
                  <w:vAlign w:val="center"/>
                </w:tcPr>
                <w:p>
                  <w:pPr>
                    <w:bidi w:val="0"/>
                    <w:jc w:val="center"/>
                    <w:rPr>
                      <w:rFonts w:hint="eastAsia"/>
                      <w:color w:val="auto"/>
                      <w:vertAlign w:val="baseline"/>
                      <w:lang w:val="en-US" w:eastAsia="zh-CN"/>
                    </w:rPr>
                  </w:pPr>
                  <w:r>
                    <w:rPr>
                      <w:rFonts w:hint="eastAsia"/>
                      <w:color w:val="auto"/>
                      <w:vertAlign w:val="baseline"/>
                      <w:lang w:val="en-US" w:eastAsia="zh-CN"/>
                    </w:rPr>
                    <w:t>海西海</w:t>
                  </w:r>
                </w:p>
              </w:tc>
              <w:tc>
                <w:tcPr>
                  <w:tcW w:w="1472"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99.97745275</w:t>
                  </w:r>
                </w:p>
              </w:tc>
              <w:tc>
                <w:tcPr>
                  <w:tcW w:w="1364"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26.28945199</w:t>
                  </w:r>
                </w:p>
              </w:tc>
              <w:tc>
                <w:tcPr>
                  <w:tcW w:w="1076"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西侧2600m</w:t>
                  </w:r>
                </w:p>
              </w:tc>
              <w:tc>
                <w:tcPr>
                  <w:tcW w:w="838"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w:t>
                  </w:r>
                </w:p>
              </w:tc>
              <w:tc>
                <w:tcPr>
                  <w:tcW w:w="1799" w:type="dxa"/>
                  <w:vAlign w:val="center"/>
                </w:tcPr>
                <w:p>
                  <w:pPr>
                    <w:bidi w:val="0"/>
                    <w:jc w:val="center"/>
                    <w:rPr>
                      <w:rFonts w:hint="eastAsia"/>
                      <w:color w:val="auto"/>
                      <w:vertAlign w:val="baseline"/>
                      <w:lang w:val="en-US" w:eastAsia="zh-CN"/>
                    </w:rPr>
                  </w:pPr>
                  <w:r>
                    <w:rPr>
                      <w:rFonts w:hint="eastAsia"/>
                      <w:color w:val="auto"/>
                      <w:vertAlign w:val="baseline"/>
                      <w:lang w:val="en-US" w:eastAsia="zh-CN"/>
                    </w:rPr>
                    <w:t>《地表水环境质量标准》（GB3838-2002）</w:t>
                  </w:r>
                  <w:r>
                    <w:rPr>
                      <w:rFonts w:hint="eastAsia" w:ascii="宋体" w:hAnsi="宋体" w:eastAsia="宋体" w:cs="宋体"/>
                      <w:color w:val="auto"/>
                      <w:vertAlign w:val="baseline"/>
                      <w:lang w:val="en-US" w:eastAsia="zh-CN"/>
                    </w:rPr>
                    <w:t>Ⅱ</w:t>
                  </w:r>
                  <w:r>
                    <w:rPr>
                      <w:rFonts w:hint="eastAsia"/>
                      <w:color w:val="auto"/>
                      <w:vertAlign w:val="baseline"/>
                      <w:lang w:val="en-US" w:eastAsia="zh-CN"/>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8" w:type="dxa"/>
                  <w:vAlign w:val="center"/>
                </w:tcPr>
                <w:p>
                  <w:pPr>
                    <w:bidi w:val="0"/>
                    <w:jc w:val="center"/>
                    <w:rPr>
                      <w:rFonts w:hint="eastAsia"/>
                      <w:color w:val="auto"/>
                      <w:vertAlign w:val="baseline"/>
                      <w:lang w:val="en-US" w:eastAsia="zh-CN"/>
                    </w:rPr>
                  </w:pPr>
                  <w:r>
                    <w:rPr>
                      <w:rFonts w:hint="eastAsia"/>
                      <w:color w:val="auto"/>
                      <w:vertAlign w:val="baseline"/>
                      <w:lang w:val="en-US" w:eastAsia="zh-CN"/>
                    </w:rPr>
                    <w:t>生态环境</w:t>
                  </w:r>
                </w:p>
              </w:tc>
              <w:tc>
                <w:tcPr>
                  <w:tcW w:w="700" w:type="dxa"/>
                  <w:vAlign w:val="center"/>
                </w:tcPr>
                <w:p>
                  <w:pPr>
                    <w:bidi w:val="0"/>
                    <w:jc w:val="center"/>
                    <w:rPr>
                      <w:rFonts w:hint="eastAsia"/>
                      <w:color w:val="auto"/>
                      <w:vertAlign w:val="baseline"/>
                      <w:lang w:val="en-US" w:eastAsia="zh-CN"/>
                    </w:rPr>
                  </w:pPr>
                  <w:r>
                    <w:rPr>
                      <w:rFonts w:hint="eastAsia"/>
                      <w:color w:val="auto"/>
                      <w:vertAlign w:val="baseline"/>
                      <w:lang w:val="en-US" w:eastAsia="zh-CN"/>
                    </w:rPr>
                    <w:t>项目区内植被</w:t>
                  </w:r>
                </w:p>
              </w:tc>
              <w:tc>
                <w:tcPr>
                  <w:tcW w:w="3912" w:type="dxa"/>
                  <w:gridSpan w:val="3"/>
                  <w:vAlign w:val="center"/>
                </w:tcPr>
                <w:p>
                  <w:pPr>
                    <w:bidi w:val="0"/>
                    <w:jc w:val="center"/>
                    <w:rPr>
                      <w:rFonts w:hint="eastAsia"/>
                      <w:color w:val="auto"/>
                      <w:vertAlign w:val="baseline"/>
                      <w:lang w:val="en-US" w:eastAsia="zh-CN"/>
                    </w:rPr>
                  </w:pPr>
                  <w:r>
                    <w:rPr>
                      <w:rFonts w:hint="eastAsia"/>
                      <w:color w:val="auto"/>
                      <w:vertAlign w:val="baseline"/>
                      <w:lang w:val="en-US" w:eastAsia="zh-CN"/>
                    </w:rPr>
                    <w:t>项目区</w:t>
                  </w:r>
                </w:p>
              </w:tc>
              <w:tc>
                <w:tcPr>
                  <w:tcW w:w="838" w:type="dxa"/>
                  <w:vAlign w:val="center"/>
                </w:tcPr>
                <w:p>
                  <w:pPr>
                    <w:bidi w:val="0"/>
                    <w:jc w:val="center"/>
                    <w:rPr>
                      <w:rFonts w:hint="eastAsia"/>
                      <w:color w:val="auto"/>
                      <w:vertAlign w:val="baseline"/>
                      <w:lang w:val="en-US" w:eastAsia="zh-CN"/>
                    </w:rPr>
                  </w:pPr>
                  <w:r>
                    <w:rPr>
                      <w:rFonts w:hint="eastAsia"/>
                      <w:color w:val="auto"/>
                      <w:vertAlign w:val="baseline"/>
                      <w:lang w:val="en-US" w:eastAsia="zh-CN"/>
                    </w:rPr>
                    <w:t>项目区内植被</w:t>
                  </w:r>
                </w:p>
              </w:tc>
              <w:tc>
                <w:tcPr>
                  <w:tcW w:w="1799" w:type="dxa"/>
                  <w:vAlign w:val="center"/>
                </w:tcPr>
                <w:p>
                  <w:pPr>
                    <w:bidi w:val="0"/>
                    <w:jc w:val="center"/>
                    <w:rPr>
                      <w:rFonts w:hint="eastAsia"/>
                      <w:color w:val="auto"/>
                      <w:vertAlign w:val="baseline"/>
                      <w:lang w:val="en-US" w:eastAsia="zh-CN"/>
                    </w:rPr>
                  </w:pPr>
                  <w:r>
                    <w:rPr>
                      <w:rFonts w:hint="eastAsia"/>
                      <w:color w:val="auto"/>
                      <w:vertAlign w:val="baseline"/>
                      <w:lang w:val="en-US" w:eastAsia="zh-CN"/>
                    </w:rPr>
                    <w:t>植物及生物物种</w:t>
                  </w:r>
                </w:p>
              </w:tc>
            </w:tr>
          </w:tbl>
          <w:p>
            <w:pPr>
              <w:bidi w:val="0"/>
              <w:rPr>
                <w:rFonts w:hint="default"/>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tcPr>
          <w:p>
            <w:pPr>
              <w:numPr>
                <w:ilvl w:val="0"/>
                <w:numId w:val="0"/>
              </w:numPr>
              <w:bidi w:val="0"/>
              <w:rPr>
                <w:rFonts w:hint="default"/>
                <w:color w:val="auto"/>
                <w:vertAlign w:val="baseline"/>
                <w:lang w:val="en-US" w:eastAsia="zh-CN"/>
              </w:rPr>
            </w:pPr>
            <w:r>
              <w:rPr>
                <w:rFonts w:hint="eastAsia"/>
                <w:color w:val="auto"/>
                <w:vertAlign w:val="baseline"/>
                <w:lang w:val="en-US" w:eastAsia="zh-CN"/>
              </w:rPr>
              <w:t>污染物排放控制标准</w:t>
            </w:r>
          </w:p>
        </w:tc>
        <w:tc>
          <w:tcPr>
            <w:tcW w:w="806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一、环境质量标准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1</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sz w:val="24"/>
                <w:szCs w:val="24"/>
                <w:lang w:val="en-US" w:eastAsia="zh-CN"/>
              </w:rPr>
              <w:t>环境空气质量标准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项目位于</w:t>
            </w:r>
            <w:r>
              <w:rPr>
                <w:rFonts w:hint="eastAsia" w:ascii="Times New Roman" w:hAnsi="Times New Roman" w:eastAsia="宋体" w:cs="Times New Roman"/>
                <w:color w:val="auto"/>
                <w:sz w:val="24"/>
                <w:szCs w:val="24"/>
                <w:lang w:val="en-US" w:eastAsia="zh-CN"/>
              </w:rPr>
              <w:t>洱源县牛街乡太平村</w:t>
            </w:r>
            <w:r>
              <w:rPr>
                <w:rFonts w:hint="default" w:ascii="Times New Roman" w:hAnsi="Times New Roman" w:eastAsia="宋体" w:cs="Times New Roman"/>
                <w:color w:val="auto"/>
                <w:sz w:val="24"/>
                <w:szCs w:val="24"/>
                <w:lang w:val="en-US" w:eastAsia="zh-CN"/>
              </w:rPr>
              <w:t>，项目所在区域属环境空气质量功能二类区。项目区域环境空气质量执行《环境空气质量标准》（GB3095-2012）及2018修改单的二级标准；</w:t>
            </w:r>
          </w:p>
          <w:p>
            <w:pPr>
              <w:bidi w:val="0"/>
              <w:jc w:val="center"/>
              <w:rPr>
                <w:rFonts w:hint="eastAsia"/>
                <w:b/>
                <w:bCs/>
                <w:color w:val="auto"/>
                <w:lang w:val="en-US" w:eastAsia="zh-CN"/>
              </w:rPr>
            </w:pPr>
            <w:r>
              <w:rPr>
                <w:rFonts w:hint="eastAsia"/>
                <w:b/>
                <w:bCs/>
                <w:color w:val="auto"/>
                <w:lang w:val="en-US" w:eastAsia="zh-CN"/>
              </w:rPr>
              <w:t>表3-4  环境空气质量标准  单位：μg/m³</w:t>
            </w:r>
          </w:p>
          <w:tbl>
            <w:tblPr>
              <w:tblStyle w:val="6"/>
              <w:tblW w:w="782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68"/>
              <w:gridCol w:w="1566"/>
              <w:gridCol w:w="1538"/>
              <w:gridCol w:w="32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68" w:type="dxa"/>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污染物名称</w:t>
                  </w:r>
                </w:p>
              </w:tc>
              <w:tc>
                <w:tcPr>
                  <w:tcW w:w="1566" w:type="dxa"/>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平均时间</w:t>
                  </w:r>
                </w:p>
              </w:tc>
              <w:tc>
                <w:tcPr>
                  <w:tcW w:w="1538" w:type="dxa"/>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二级浓度限值</w:t>
                  </w:r>
                </w:p>
              </w:tc>
              <w:tc>
                <w:tcPr>
                  <w:tcW w:w="3256" w:type="dxa"/>
                  <w:noWrap w:val="0"/>
                  <w:vAlign w:val="center"/>
                </w:tcPr>
                <w:p>
                  <w:pPr>
                    <w:spacing w:line="24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68" w:type="dxa"/>
                  <w:vMerge w:val="restar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rPr>
                    <w:t>10</w:t>
                  </w:r>
                </w:p>
              </w:tc>
              <w:tc>
                <w:tcPr>
                  <w:tcW w:w="1566" w:type="dxa"/>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年平均</w:t>
                  </w:r>
                </w:p>
              </w:tc>
              <w:tc>
                <w:tcPr>
                  <w:tcW w:w="1538" w:type="dxa"/>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w:t>
                  </w:r>
                </w:p>
              </w:tc>
              <w:tc>
                <w:tcPr>
                  <w:tcW w:w="3256" w:type="dxa"/>
                  <w:vMerge w:val="restar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《环境空气质量标准》（GB3095-2012）二级标准单位：μg/ 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（CO为mg/m³）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68" w:type="dxa"/>
                  <w:vMerge w:val="continue"/>
                  <w:noWrap w:val="0"/>
                  <w:vAlign w:val="center"/>
                </w:tcPr>
                <w:p>
                  <w:pPr>
                    <w:widowControl/>
                    <w:spacing w:line="240" w:lineRule="auto"/>
                    <w:jc w:val="center"/>
                    <w:rPr>
                      <w:rFonts w:hint="default" w:ascii="Times New Roman" w:hAnsi="Times New Roman" w:eastAsia="宋体" w:cs="Times New Roman"/>
                      <w:color w:val="auto"/>
                      <w:sz w:val="21"/>
                      <w:szCs w:val="21"/>
                    </w:rPr>
                  </w:pPr>
                </w:p>
              </w:tc>
              <w:tc>
                <w:tcPr>
                  <w:tcW w:w="1566" w:type="dxa"/>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24小时平均</w:t>
                  </w:r>
                </w:p>
              </w:tc>
              <w:tc>
                <w:tcPr>
                  <w:tcW w:w="1538" w:type="dxa"/>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150</w:t>
                  </w:r>
                </w:p>
              </w:tc>
              <w:tc>
                <w:tcPr>
                  <w:tcW w:w="3256" w:type="dxa"/>
                  <w:vMerge w:val="continue"/>
                  <w:noWrap w:val="0"/>
                  <w:vAlign w:val="center"/>
                </w:tcPr>
                <w:p>
                  <w:pPr>
                    <w:widowControl/>
                    <w:spacing w:line="240" w:lineRule="auto"/>
                    <w:jc w:val="center"/>
                    <w:rPr>
                      <w:rFonts w:hint="default" w:ascii="Times New Roman" w:hAnsi="Times New Roman" w:eastAsia="宋体"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68" w:type="dxa"/>
                  <w:vMerge w:val="restar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rPr>
                    <w:t>2.5</w:t>
                  </w:r>
                </w:p>
              </w:tc>
              <w:tc>
                <w:tcPr>
                  <w:tcW w:w="1566" w:type="dxa"/>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年平均</w:t>
                  </w:r>
                </w:p>
              </w:tc>
              <w:tc>
                <w:tcPr>
                  <w:tcW w:w="1538" w:type="dxa"/>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35</w:t>
                  </w:r>
                </w:p>
              </w:tc>
              <w:tc>
                <w:tcPr>
                  <w:tcW w:w="3256" w:type="dxa"/>
                  <w:vMerge w:val="continue"/>
                  <w:noWrap w:val="0"/>
                  <w:vAlign w:val="center"/>
                </w:tcPr>
                <w:p>
                  <w:pPr>
                    <w:widowControl/>
                    <w:spacing w:line="240" w:lineRule="auto"/>
                    <w:jc w:val="center"/>
                    <w:rPr>
                      <w:rFonts w:hint="default" w:ascii="Times New Roman" w:hAnsi="Times New Roman" w:eastAsia="宋体"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68" w:type="dxa"/>
                  <w:vMerge w:val="continue"/>
                  <w:noWrap w:val="0"/>
                  <w:vAlign w:val="center"/>
                </w:tcPr>
                <w:p>
                  <w:pPr>
                    <w:widowControl/>
                    <w:spacing w:line="240" w:lineRule="auto"/>
                    <w:jc w:val="center"/>
                    <w:rPr>
                      <w:rFonts w:hint="default" w:ascii="Times New Roman" w:hAnsi="Times New Roman" w:eastAsia="宋体" w:cs="Times New Roman"/>
                      <w:color w:val="auto"/>
                      <w:sz w:val="21"/>
                      <w:szCs w:val="21"/>
                    </w:rPr>
                  </w:pPr>
                </w:p>
              </w:tc>
              <w:tc>
                <w:tcPr>
                  <w:tcW w:w="1566" w:type="dxa"/>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24小时平均</w:t>
                  </w:r>
                </w:p>
              </w:tc>
              <w:tc>
                <w:tcPr>
                  <w:tcW w:w="1538" w:type="dxa"/>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w:t>
                  </w:r>
                </w:p>
              </w:tc>
              <w:tc>
                <w:tcPr>
                  <w:tcW w:w="3256" w:type="dxa"/>
                  <w:vMerge w:val="continue"/>
                  <w:noWrap w:val="0"/>
                  <w:vAlign w:val="center"/>
                </w:tcPr>
                <w:p>
                  <w:pPr>
                    <w:widowControl/>
                    <w:spacing w:line="240" w:lineRule="auto"/>
                    <w:jc w:val="center"/>
                    <w:rPr>
                      <w:rFonts w:hint="default" w:ascii="Times New Roman" w:hAnsi="Times New Roman" w:eastAsia="宋体"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68" w:type="dxa"/>
                  <w:vMerge w:val="restar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总悬浮颗粒物（TSP）</w:t>
                  </w:r>
                </w:p>
              </w:tc>
              <w:tc>
                <w:tcPr>
                  <w:tcW w:w="1566" w:type="dxa"/>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年平均</w:t>
                  </w:r>
                </w:p>
              </w:tc>
              <w:tc>
                <w:tcPr>
                  <w:tcW w:w="1538" w:type="dxa"/>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200</w:t>
                  </w:r>
                </w:p>
              </w:tc>
              <w:tc>
                <w:tcPr>
                  <w:tcW w:w="3256" w:type="dxa"/>
                  <w:vMerge w:val="continue"/>
                  <w:noWrap w:val="0"/>
                  <w:vAlign w:val="center"/>
                </w:tcPr>
                <w:p>
                  <w:pPr>
                    <w:widowControl/>
                    <w:spacing w:line="240" w:lineRule="auto"/>
                    <w:jc w:val="center"/>
                    <w:rPr>
                      <w:rFonts w:hint="default" w:ascii="Times New Roman" w:hAnsi="Times New Roman" w:eastAsia="宋体"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68" w:type="dxa"/>
                  <w:vMerge w:val="continue"/>
                  <w:noWrap w:val="0"/>
                  <w:vAlign w:val="center"/>
                </w:tcPr>
                <w:p>
                  <w:pPr>
                    <w:widowControl/>
                    <w:spacing w:line="240" w:lineRule="auto"/>
                    <w:jc w:val="center"/>
                    <w:rPr>
                      <w:rFonts w:hint="default" w:ascii="Times New Roman" w:hAnsi="Times New Roman" w:eastAsia="宋体" w:cs="Times New Roman"/>
                      <w:color w:val="auto"/>
                      <w:sz w:val="21"/>
                      <w:szCs w:val="21"/>
                    </w:rPr>
                  </w:pPr>
                </w:p>
              </w:tc>
              <w:tc>
                <w:tcPr>
                  <w:tcW w:w="1566" w:type="dxa"/>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24小时平均</w:t>
                  </w:r>
                </w:p>
              </w:tc>
              <w:tc>
                <w:tcPr>
                  <w:tcW w:w="1538" w:type="dxa"/>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300</w:t>
                  </w:r>
                </w:p>
              </w:tc>
              <w:tc>
                <w:tcPr>
                  <w:tcW w:w="3256" w:type="dxa"/>
                  <w:vMerge w:val="continue"/>
                  <w:noWrap w:val="0"/>
                  <w:vAlign w:val="center"/>
                </w:tcPr>
                <w:p>
                  <w:pPr>
                    <w:widowControl/>
                    <w:spacing w:line="240" w:lineRule="auto"/>
                    <w:jc w:val="center"/>
                    <w:rPr>
                      <w:rFonts w:hint="default" w:ascii="Times New Roman" w:hAnsi="Times New Roman" w:eastAsia="宋体"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68" w:type="dxa"/>
                  <w:vMerge w:val="restar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二氧化氮</w:t>
                  </w:r>
                </w:p>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w:t>
                  </w:r>
                </w:p>
              </w:tc>
              <w:tc>
                <w:tcPr>
                  <w:tcW w:w="1566" w:type="dxa"/>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年平均</w:t>
                  </w:r>
                </w:p>
              </w:tc>
              <w:tc>
                <w:tcPr>
                  <w:tcW w:w="1538" w:type="dxa"/>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w:t>
                  </w:r>
                </w:p>
              </w:tc>
              <w:tc>
                <w:tcPr>
                  <w:tcW w:w="3256" w:type="dxa"/>
                  <w:vMerge w:val="continue"/>
                  <w:noWrap w:val="0"/>
                  <w:vAlign w:val="center"/>
                </w:tcPr>
                <w:p>
                  <w:pPr>
                    <w:widowControl/>
                    <w:spacing w:line="240" w:lineRule="auto"/>
                    <w:jc w:val="center"/>
                    <w:rPr>
                      <w:rFonts w:hint="default" w:ascii="Times New Roman" w:hAnsi="Times New Roman" w:eastAsia="宋体"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68" w:type="dxa"/>
                  <w:vMerge w:val="continue"/>
                  <w:noWrap w:val="0"/>
                  <w:vAlign w:val="center"/>
                </w:tcPr>
                <w:p>
                  <w:pPr>
                    <w:widowControl/>
                    <w:spacing w:line="240" w:lineRule="auto"/>
                    <w:jc w:val="center"/>
                    <w:rPr>
                      <w:rFonts w:hint="default" w:ascii="Times New Roman" w:hAnsi="Times New Roman" w:eastAsia="宋体" w:cs="Times New Roman"/>
                      <w:color w:val="auto"/>
                      <w:sz w:val="21"/>
                      <w:szCs w:val="21"/>
                    </w:rPr>
                  </w:pPr>
                </w:p>
              </w:tc>
              <w:tc>
                <w:tcPr>
                  <w:tcW w:w="1566" w:type="dxa"/>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24小时平均</w:t>
                  </w:r>
                </w:p>
              </w:tc>
              <w:tc>
                <w:tcPr>
                  <w:tcW w:w="1538" w:type="dxa"/>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w:t>
                  </w:r>
                </w:p>
              </w:tc>
              <w:tc>
                <w:tcPr>
                  <w:tcW w:w="3256" w:type="dxa"/>
                  <w:vMerge w:val="continue"/>
                  <w:noWrap w:val="0"/>
                  <w:vAlign w:val="center"/>
                </w:tcPr>
                <w:p>
                  <w:pPr>
                    <w:widowControl/>
                    <w:spacing w:line="240" w:lineRule="auto"/>
                    <w:jc w:val="center"/>
                    <w:rPr>
                      <w:rFonts w:hint="default" w:ascii="Times New Roman" w:hAnsi="Times New Roman" w:eastAsia="宋体"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68" w:type="dxa"/>
                  <w:vMerge w:val="continue"/>
                  <w:noWrap w:val="0"/>
                  <w:vAlign w:val="center"/>
                </w:tcPr>
                <w:p>
                  <w:pPr>
                    <w:widowControl/>
                    <w:spacing w:line="240" w:lineRule="auto"/>
                    <w:jc w:val="center"/>
                    <w:rPr>
                      <w:rFonts w:hint="default" w:ascii="Times New Roman" w:hAnsi="Times New Roman" w:eastAsia="宋体" w:cs="Times New Roman"/>
                      <w:color w:val="auto"/>
                      <w:sz w:val="21"/>
                      <w:szCs w:val="21"/>
                    </w:rPr>
                  </w:pPr>
                </w:p>
              </w:tc>
              <w:tc>
                <w:tcPr>
                  <w:tcW w:w="1566" w:type="dxa"/>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1小时平均</w:t>
                  </w:r>
                </w:p>
              </w:tc>
              <w:tc>
                <w:tcPr>
                  <w:tcW w:w="1538" w:type="dxa"/>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200</w:t>
                  </w:r>
                </w:p>
              </w:tc>
              <w:tc>
                <w:tcPr>
                  <w:tcW w:w="3256" w:type="dxa"/>
                  <w:vMerge w:val="continue"/>
                  <w:noWrap w:val="0"/>
                  <w:vAlign w:val="center"/>
                </w:tcPr>
                <w:p>
                  <w:pPr>
                    <w:widowControl/>
                    <w:spacing w:line="240" w:lineRule="auto"/>
                    <w:jc w:val="center"/>
                    <w:rPr>
                      <w:rFonts w:hint="default" w:ascii="Times New Roman" w:hAnsi="Times New Roman" w:eastAsia="宋体"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68" w:type="dxa"/>
                  <w:vMerge w:val="restart"/>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二氧化硫</w:t>
                  </w:r>
                </w:p>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w:t>
                  </w:r>
                </w:p>
              </w:tc>
              <w:tc>
                <w:tcPr>
                  <w:tcW w:w="1566" w:type="dxa"/>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年平均</w:t>
                  </w:r>
                </w:p>
              </w:tc>
              <w:tc>
                <w:tcPr>
                  <w:tcW w:w="1538" w:type="dxa"/>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3256" w:type="dxa"/>
                  <w:vMerge w:val="continue"/>
                  <w:noWrap w:val="0"/>
                  <w:vAlign w:val="center"/>
                </w:tcPr>
                <w:p>
                  <w:pPr>
                    <w:widowControl/>
                    <w:spacing w:line="240" w:lineRule="auto"/>
                    <w:jc w:val="center"/>
                    <w:rPr>
                      <w:rFonts w:hint="default" w:ascii="Times New Roman" w:hAnsi="Times New Roman" w:eastAsia="宋体"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468" w:type="dxa"/>
                  <w:vMerge w:val="continue"/>
                  <w:noWrap w:val="0"/>
                  <w:vAlign w:val="center"/>
                </w:tcPr>
                <w:p>
                  <w:pPr>
                    <w:widowControl/>
                    <w:spacing w:line="240" w:lineRule="auto"/>
                    <w:jc w:val="center"/>
                    <w:rPr>
                      <w:rFonts w:hint="default" w:ascii="Times New Roman" w:hAnsi="Times New Roman" w:eastAsia="宋体" w:cs="Times New Roman"/>
                      <w:color w:val="auto"/>
                      <w:sz w:val="21"/>
                      <w:szCs w:val="21"/>
                    </w:rPr>
                  </w:pPr>
                </w:p>
              </w:tc>
              <w:tc>
                <w:tcPr>
                  <w:tcW w:w="1566" w:type="dxa"/>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24小时平均</w:t>
                  </w:r>
                </w:p>
              </w:tc>
              <w:tc>
                <w:tcPr>
                  <w:tcW w:w="1538" w:type="dxa"/>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150</w:t>
                  </w:r>
                </w:p>
              </w:tc>
              <w:tc>
                <w:tcPr>
                  <w:tcW w:w="3256" w:type="dxa"/>
                  <w:vMerge w:val="continue"/>
                  <w:noWrap w:val="0"/>
                  <w:vAlign w:val="center"/>
                </w:tcPr>
                <w:p>
                  <w:pPr>
                    <w:widowControl/>
                    <w:spacing w:line="240" w:lineRule="auto"/>
                    <w:jc w:val="center"/>
                    <w:rPr>
                      <w:rFonts w:hint="default" w:ascii="Times New Roman" w:hAnsi="Times New Roman" w:eastAsia="宋体"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68" w:type="dxa"/>
                  <w:vMerge w:val="continue"/>
                  <w:noWrap w:val="0"/>
                  <w:vAlign w:val="center"/>
                </w:tcPr>
                <w:p>
                  <w:pPr>
                    <w:widowControl/>
                    <w:spacing w:line="240" w:lineRule="auto"/>
                    <w:jc w:val="center"/>
                    <w:rPr>
                      <w:rFonts w:hint="default" w:ascii="Times New Roman" w:hAnsi="Times New Roman" w:eastAsia="宋体" w:cs="Times New Roman"/>
                      <w:color w:val="auto"/>
                      <w:sz w:val="21"/>
                      <w:szCs w:val="21"/>
                    </w:rPr>
                  </w:pPr>
                </w:p>
              </w:tc>
              <w:tc>
                <w:tcPr>
                  <w:tcW w:w="1566" w:type="dxa"/>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1小时平均</w:t>
                  </w:r>
                </w:p>
              </w:tc>
              <w:tc>
                <w:tcPr>
                  <w:tcW w:w="1538" w:type="dxa"/>
                  <w:noWrap w:val="0"/>
                  <w:vAlign w:val="center"/>
                </w:tcPr>
                <w:p>
                  <w:pPr>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w:t>
                  </w:r>
                </w:p>
              </w:tc>
              <w:tc>
                <w:tcPr>
                  <w:tcW w:w="3256" w:type="dxa"/>
                  <w:vMerge w:val="continue"/>
                  <w:noWrap w:val="0"/>
                  <w:vAlign w:val="center"/>
                </w:tcPr>
                <w:p>
                  <w:pPr>
                    <w:widowControl/>
                    <w:spacing w:line="240" w:lineRule="auto"/>
                    <w:jc w:val="center"/>
                    <w:rPr>
                      <w:rFonts w:hint="default" w:ascii="Times New Roman" w:hAnsi="Times New Roman" w:eastAsia="宋体"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68" w:type="dxa"/>
                  <w:vMerge w:val="restart"/>
                  <w:noWrap w:val="0"/>
                  <w:vAlign w:val="center"/>
                </w:tcPr>
                <w:p>
                  <w:pPr>
                    <w:widowControl w:val="0"/>
                    <w:kinsoku w:val="0"/>
                    <w:overflowPunct w:val="0"/>
                    <w:autoSpaceDE w:val="0"/>
                    <w:autoSpaceDN w:val="0"/>
                    <w:adjustRightIn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CO</w:t>
                  </w:r>
                </w:p>
              </w:tc>
              <w:tc>
                <w:tcPr>
                  <w:tcW w:w="1566" w:type="dxa"/>
                  <w:noWrap w:val="0"/>
                  <w:vAlign w:val="center"/>
                </w:tcPr>
                <w:p>
                  <w:pPr>
                    <w:widowControl w:val="0"/>
                    <w:kinsoku w:val="0"/>
                    <w:overflowPunct w:val="0"/>
                    <w:autoSpaceDE w:val="0"/>
                    <w:autoSpaceDN w:val="0"/>
                    <w:adjustRightIn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24h 平均</w:t>
                  </w:r>
                </w:p>
              </w:tc>
              <w:tc>
                <w:tcPr>
                  <w:tcW w:w="1538" w:type="dxa"/>
                  <w:noWrap w:val="0"/>
                  <w:vAlign w:val="center"/>
                </w:tcPr>
                <w:p>
                  <w:pPr>
                    <w:widowControl w:val="0"/>
                    <w:kinsoku w:val="0"/>
                    <w:overflowPunct w:val="0"/>
                    <w:autoSpaceDE w:val="0"/>
                    <w:autoSpaceDN w:val="0"/>
                    <w:adjustRightIn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3256" w:type="dxa"/>
                  <w:vMerge w:val="continue"/>
                  <w:noWrap w:val="0"/>
                  <w:vAlign w:val="center"/>
                </w:tcPr>
                <w:p>
                  <w:pPr>
                    <w:widowControl/>
                    <w:spacing w:line="240" w:lineRule="auto"/>
                    <w:jc w:val="center"/>
                    <w:rPr>
                      <w:rFonts w:hint="default" w:ascii="Times New Roman" w:hAnsi="Times New Roman" w:eastAsia="宋体"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68" w:type="dxa"/>
                  <w:vMerge w:val="continue"/>
                  <w:noWrap w:val="0"/>
                  <w:vAlign w:val="center"/>
                </w:tcPr>
                <w:p>
                  <w:pPr>
                    <w:widowControl/>
                    <w:spacing w:line="240" w:lineRule="auto"/>
                    <w:jc w:val="center"/>
                    <w:rPr>
                      <w:rFonts w:hint="default" w:ascii="Times New Roman" w:hAnsi="Times New Roman" w:eastAsia="宋体" w:cs="Times New Roman"/>
                      <w:color w:val="auto"/>
                      <w:sz w:val="21"/>
                      <w:szCs w:val="21"/>
                    </w:rPr>
                  </w:pPr>
                </w:p>
              </w:tc>
              <w:tc>
                <w:tcPr>
                  <w:tcW w:w="1566" w:type="dxa"/>
                  <w:noWrap w:val="0"/>
                  <w:vAlign w:val="center"/>
                </w:tcPr>
                <w:p>
                  <w:pPr>
                    <w:widowControl w:val="0"/>
                    <w:kinsoku w:val="0"/>
                    <w:overflowPunct w:val="0"/>
                    <w:autoSpaceDE w:val="0"/>
                    <w:autoSpaceDN w:val="0"/>
                    <w:adjustRightIn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1h 平均</w:t>
                  </w:r>
                </w:p>
              </w:tc>
              <w:tc>
                <w:tcPr>
                  <w:tcW w:w="1538" w:type="dxa"/>
                  <w:noWrap w:val="0"/>
                  <w:vAlign w:val="center"/>
                </w:tcPr>
                <w:p>
                  <w:pPr>
                    <w:widowControl w:val="0"/>
                    <w:kinsoku w:val="0"/>
                    <w:overflowPunct w:val="0"/>
                    <w:autoSpaceDE w:val="0"/>
                    <w:autoSpaceDN w:val="0"/>
                    <w:adjustRightIn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c>
                <w:tcPr>
                  <w:tcW w:w="3256" w:type="dxa"/>
                  <w:vMerge w:val="continue"/>
                  <w:noWrap w:val="0"/>
                  <w:vAlign w:val="center"/>
                </w:tcPr>
                <w:p>
                  <w:pPr>
                    <w:widowControl/>
                    <w:spacing w:line="240" w:lineRule="auto"/>
                    <w:jc w:val="center"/>
                    <w:rPr>
                      <w:rFonts w:hint="default" w:ascii="Times New Roman" w:hAnsi="Times New Roman" w:eastAsia="宋体"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68" w:type="dxa"/>
                  <w:vMerge w:val="restart"/>
                  <w:noWrap w:val="0"/>
                  <w:vAlign w:val="center"/>
                </w:tcPr>
                <w:p>
                  <w:pPr>
                    <w:widowControl w:val="0"/>
                    <w:kinsoku w:val="0"/>
                    <w:overflowPunct w:val="0"/>
                    <w:autoSpaceDE w:val="0"/>
                    <w:autoSpaceDN w:val="0"/>
                    <w:adjustRightIn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O</w:t>
                  </w:r>
                  <w:r>
                    <w:rPr>
                      <w:rFonts w:hint="default" w:ascii="Times New Roman" w:hAnsi="Times New Roman" w:eastAsia="宋体" w:cs="Times New Roman"/>
                      <w:color w:val="auto"/>
                      <w:sz w:val="21"/>
                      <w:szCs w:val="21"/>
                      <w:vertAlign w:val="subscript"/>
                      <w:lang w:val="en-US" w:eastAsia="zh-CN"/>
                    </w:rPr>
                    <w:t>3</w:t>
                  </w:r>
                </w:p>
              </w:tc>
              <w:tc>
                <w:tcPr>
                  <w:tcW w:w="1566" w:type="dxa"/>
                  <w:noWrap w:val="0"/>
                  <w:vAlign w:val="center"/>
                </w:tcPr>
                <w:p>
                  <w:pPr>
                    <w:widowControl w:val="0"/>
                    <w:kinsoku w:val="0"/>
                    <w:overflowPunct w:val="0"/>
                    <w:autoSpaceDE w:val="0"/>
                    <w:autoSpaceDN w:val="0"/>
                    <w:adjustRightIn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日最大8h平均</w:t>
                  </w:r>
                </w:p>
              </w:tc>
              <w:tc>
                <w:tcPr>
                  <w:tcW w:w="1538" w:type="dxa"/>
                  <w:noWrap w:val="0"/>
                  <w:vAlign w:val="center"/>
                </w:tcPr>
                <w:p>
                  <w:pPr>
                    <w:widowControl w:val="0"/>
                    <w:kinsoku w:val="0"/>
                    <w:overflowPunct w:val="0"/>
                    <w:autoSpaceDE w:val="0"/>
                    <w:autoSpaceDN w:val="0"/>
                    <w:adjustRightIn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160</w:t>
                  </w:r>
                </w:p>
              </w:tc>
              <w:tc>
                <w:tcPr>
                  <w:tcW w:w="3256" w:type="dxa"/>
                  <w:vMerge w:val="continue"/>
                  <w:noWrap w:val="0"/>
                  <w:vAlign w:val="center"/>
                </w:tcPr>
                <w:p>
                  <w:pPr>
                    <w:widowControl/>
                    <w:spacing w:line="240" w:lineRule="auto"/>
                    <w:jc w:val="center"/>
                    <w:rPr>
                      <w:rFonts w:hint="default" w:ascii="Times New Roman" w:hAnsi="Times New Roman" w:eastAsia="宋体" w:cs="Times New Roman"/>
                      <w:color w:val="auto"/>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1468" w:type="dxa"/>
                  <w:vMerge w:val="continue"/>
                  <w:noWrap w:val="0"/>
                  <w:vAlign w:val="center"/>
                </w:tcPr>
                <w:p>
                  <w:pPr>
                    <w:widowControl/>
                    <w:spacing w:line="240" w:lineRule="auto"/>
                    <w:jc w:val="center"/>
                    <w:rPr>
                      <w:rFonts w:hint="default" w:ascii="Times New Roman" w:hAnsi="Times New Roman" w:eastAsia="宋体" w:cs="Times New Roman"/>
                      <w:color w:val="auto"/>
                      <w:sz w:val="21"/>
                      <w:szCs w:val="21"/>
                    </w:rPr>
                  </w:pPr>
                </w:p>
              </w:tc>
              <w:tc>
                <w:tcPr>
                  <w:tcW w:w="1566" w:type="dxa"/>
                  <w:noWrap w:val="0"/>
                  <w:vAlign w:val="center"/>
                </w:tcPr>
                <w:p>
                  <w:pPr>
                    <w:widowControl w:val="0"/>
                    <w:kinsoku w:val="0"/>
                    <w:overflowPunct w:val="0"/>
                    <w:autoSpaceDE w:val="0"/>
                    <w:autoSpaceDN w:val="0"/>
                    <w:adjustRightIn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1h 平均</w:t>
                  </w:r>
                </w:p>
              </w:tc>
              <w:tc>
                <w:tcPr>
                  <w:tcW w:w="1538" w:type="dxa"/>
                  <w:noWrap w:val="0"/>
                  <w:vAlign w:val="center"/>
                </w:tcPr>
                <w:p>
                  <w:pPr>
                    <w:widowControl w:val="0"/>
                    <w:kinsoku w:val="0"/>
                    <w:overflowPunct w:val="0"/>
                    <w:autoSpaceDE w:val="0"/>
                    <w:autoSpaceDN w:val="0"/>
                    <w:adjustRightInd w:val="0"/>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200</w:t>
                  </w:r>
                </w:p>
              </w:tc>
              <w:tc>
                <w:tcPr>
                  <w:tcW w:w="3256" w:type="dxa"/>
                  <w:vMerge w:val="continue"/>
                  <w:noWrap w:val="0"/>
                  <w:vAlign w:val="center"/>
                </w:tcPr>
                <w:p>
                  <w:pPr>
                    <w:widowControl/>
                    <w:spacing w:line="240" w:lineRule="auto"/>
                    <w:jc w:val="center"/>
                    <w:rPr>
                      <w:rFonts w:hint="default" w:ascii="Times New Roman" w:hAnsi="Times New Roman" w:eastAsia="宋体" w:cs="Times New Roman"/>
                      <w:color w:val="auto"/>
                      <w:sz w:val="21"/>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2</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sz w:val="24"/>
                <w:szCs w:val="24"/>
                <w:lang w:val="en-US" w:eastAsia="zh-CN"/>
              </w:rPr>
              <w:t>水环境质量标准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bCs/>
                <w:color w:val="auto"/>
                <w:lang w:val="en-US" w:eastAsia="zh-CN"/>
              </w:rPr>
            </w:pPr>
            <w:r>
              <w:rPr>
                <w:rFonts w:hint="default"/>
                <w:color w:val="auto"/>
                <w:sz w:val="24"/>
                <w:szCs w:val="24"/>
                <w:lang w:val="en-US" w:eastAsia="zh-CN"/>
              </w:rPr>
              <w:t>项目所在区域最近水体为</w:t>
            </w:r>
            <w:r>
              <w:rPr>
                <w:rFonts w:hint="eastAsia"/>
                <w:color w:val="auto"/>
                <w:sz w:val="24"/>
                <w:szCs w:val="24"/>
                <w:lang w:val="en-US" w:eastAsia="zh-CN"/>
              </w:rPr>
              <w:t>西</w:t>
            </w:r>
            <w:r>
              <w:rPr>
                <w:rFonts w:hint="default"/>
                <w:color w:val="auto"/>
                <w:sz w:val="24"/>
                <w:szCs w:val="24"/>
                <w:lang w:val="en-US" w:eastAsia="zh-CN"/>
              </w:rPr>
              <w:t>侧</w:t>
            </w:r>
            <w:r>
              <w:rPr>
                <w:rFonts w:hint="eastAsia"/>
                <w:color w:val="auto"/>
                <w:sz w:val="24"/>
                <w:szCs w:val="24"/>
                <w:lang w:val="en-US" w:eastAsia="zh-CN"/>
              </w:rPr>
              <w:t>2600</w:t>
            </w:r>
            <w:r>
              <w:rPr>
                <w:rFonts w:hint="default"/>
                <w:color w:val="auto"/>
                <w:sz w:val="24"/>
                <w:szCs w:val="24"/>
                <w:lang w:val="en-US" w:eastAsia="zh-CN"/>
              </w:rPr>
              <w:t>m处的</w:t>
            </w:r>
            <w:r>
              <w:rPr>
                <w:rFonts w:hint="eastAsia"/>
                <w:color w:val="auto"/>
                <w:sz w:val="24"/>
                <w:szCs w:val="24"/>
                <w:lang w:val="en-US" w:eastAsia="zh-CN"/>
              </w:rPr>
              <w:t>海西海水库。</w:t>
            </w:r>
            <w:r>
              <w:rPr>
                <w:rFonts w:hint="default"/>
                <w:color w:val="auto"/>
                <w:sz w:val="24"/>
                <w:szCs w:val="24"/>
                <w:lang w:val="en-US" w:eastAsia="zh-CN"/>
              </w:rPr>
              <w:t>根据云南省水利厅《云南省水功能区划（201</w:t>
            </w:r>
            <w:r>
              <w:rPr>
                <w:rFonts w:hint="eastAsia"/>
                <w:color w:val="auto"/>
                <w:sz w:val="24"/>
                <w:szCs w:val="24"/>
                <w:lang w:val="en-US" w:eastAsia="zh-CN"/>
              </w:rPr>
              <w:t>4</w:t>
            </w:r>
            <w:r>
              <w:rPr>
                <w:rFonts w:hint="default"/>
                <w:color w:val="auto"/>
                <w:sz w:val="24"/>
                <w:szCs w:val="24"/>
                <w:lang w:val="en-US" w:eastAsia="zh-CN"/>
              </w:rPr>
              <w:t>年修订）》</w:t>
            </w:r>
            <w:r>
              <w:rPr>
                <w:rFonts w:hint="eastAsia"/>
                <w:color w:val="auto"/>
                <w:sz w:val="24"/>
                <w:szCs w:val="24"/>
                <w:lang w:val="en-US" w:eastAsia="zh-CN"/>
              </w:rPr>
              <w:t>，海西海水库洱源农业、渔业、饮用用水区：海西海水库位于牛街乡西北，距县城24km，总库容6185万m³，年农业供水量2617万m³，灌溉面积75000亩，现状水质</w:t>
            </w:r>
            <w:r>
              <w:rPr>
                <w:rFonts w:hint="eastAsia" w:ascii="宋体" w:hAnsi="宋体" w:eastAsia="宋体" w:cs="宋体"/>
                <w:color w:val="auto"/>
                <w:sz w:val="24"/>
                <w:szCs w:val="24"/>
                <w:lang w:val="en-US" w:eastAsia="zh-CN"/>
              </w:rPr>
              <w:t>Ⅱ</w:t>
            </w:r>
            <w:r>
              <w:rPr>
                <w:rFonts w:hint="eastAsia"/>
                <w:color w:val="auto"/>
                <w:sz w:val="24"/>
                <w:szCs w:val="24"/>
                <w:lang w:val="en-US" w:eastAsia="zh-CN"/>
              </w:rPr>
              <w:t>类，规划水平年水质目标</w:t>
            </w:r>
            <w:r>
              <w:rPr>
                <w:rFonts w:hint="eastAsia" w:ascii="宋体" w:hAnsi="宋体" w:eastAsia="宋体" w:cs="宋体"/>
                <w:color w:val="auto"/>
                <w:sz w:val="24"/>
                <w:szCs w:val="24"/>
                <w:lang w:val="en-US" w:eastAsia="zh-CN"/>
              </w:rPr>
              <w:t>Ⅱ</w:t>
            </w:r>
            <w:r>
              <w:rPr>
                <w:rFonts w:hint="eastAsia"/>
                <w:color w:val="auto"/>
                <w:sz w:val="24"/>
                <w:szCs w:val="24"/>
                <w:lang w:val="en-US" w:eastAsia="zh-CN"/>
              </w:rPr>
              <w:t>类。故项目区域地表水环境质量标准执行《地表水环境质量标准》（GB3838-2002）</w:t>
            </w:r>
            <w:r>
              <w:rPr>
                <w:rFonts w:hint="eastAsia" w:ascii="宋体" w:hAnsi="宋体" w:eastAsia="宋体" w:cs="宋体"/>
                <w:color w:val="auto"/>
                <w:sz w:val="24"/>
                <w:szCs w:val="24"/>
                <w:lang w:val="en-US" w:eastAsia="zh-CN"/>
              </w:rPr>
              <w:t>Ⅱ</w:t>
            </w:r>
            <w:r>
              <w:rPr>
                <w:rFonts w:hint="eastAsia"/>
                <w:color w:val="auto"/>
                <w:sz w:val="24"/>
                <w:szCs w:val="24"/>
                <w:lang w:val="en-US" w:eastAsia="zh-CN"/>
              </w:rPr>
              <w:t>类水质标准。</w:t>
            </w:r>
          </w:p>
          <w:p>
            <w:pPr>
              <w:bidi w:val="0"/>
              <w:jc w:val="center"/>
              <w:rPr>
                <w:rFonts w:hint="eastAsia"/>
                <w:b/>
                <w:bCs/>
                <w:color w:val="auto"/>
                <w:lang w:val="en-US" w:eastAsia="zh-CN"/>
              </w:rPr>
            </w:pPr>
            <w:r>
              <w:rPr>
                <w:rFonts w:hint="eastAsia"/>
                <w:b/>
                <w:bCs/>
                <w:color w:val="auto"/>
                <w:lang w:val="en-US" w:eastAsia="zh-CN"/>
              </w:rPr>
              <w:t>表3-5  地表水环境质量标准 单位：mg/L  pH：无量纲</w:t>
            </w:r>
          </w:p>
          <w:tbl>
            <w:tblPr>
              <w:tblStyle w:val="7"/>
              <w:tblW w:w="7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24"/>
              <w:gridCol w:w="670"/>
              <w:gridCol w:w="625"/>
              <w:gridCol w:w="665"/>
              <w:gridCol w:w="623"/>
              <w:gridCol w:w="775"/>
              <w:gridCol w:w="921"/>
              <w:gridCol w:w="809"/>
              <w:gridCol w:w="697"/>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vAlign w:val="center"/>
                </w:tcPr>
                <w:p>
                  <w:pPr>
                    <w:bidi w:val="0"/>
                    <w:jc w:val="center"/>
                    <w:rPr>
                      <w:rFonts w:hint="default" w:ascii="Times New Roman" w:hAnsi="Times New Roman" w:eastAsia="宋体" w:cs="Times New Roman"/>
                      <w:b/>
                      <w:bCs/>
                      <w:color w:val="auto"/>
                      <w:sz w:val="18"/>
                      <w:szCs w:val="18"/>
                      <w:lang w:val="en-US" w:eastAsia="zh-CN"/>
                    </w:rPr>
                  </w:pPr>
                  <w:r>
                    <w:rPr>
                      <w:rFonts w:hint="default" w:ascii="Times New Roman" w:hAnsi="Times New Roman" w:eastAsia="宋体" w:cs="Times New Roman"/>
                      <w:b/>
                      <w:bCs/>
                      <w:color w:val="auto"/>
                      <w:sz w:val="18"/>
                      <w:szCs w:val="18"/>
                      <w:lang w:val="en-US" w:eastAsia="zh-CN"/>
                    </w:rPr>
                    <w:t>项目</w:t>
                  </w:r>
                </w:p>
              </w:tc>
              <w:tc>
                <w:tcPr>
                  <w:tcW w:w="524" w:type="dxa"/>
                  <w:vAlign w:val="center"/>
                </w:tcPr>
                <w:p>
                  <w:pPr>
                    <w:bidi w:val="0"/>
                    <w:jc w:val="center"/>
                    <w:rPr>
                      <w:rFonts w:hint="default" w:ascii="Times New Roman" w:hAnsi="Times New Roman" w:eastAsia="宋体" w:cs="Times New Roman"/>
                      <w:b/>
                      <w:bCs/>
                      <w:color w:val="auto"/>
                      <w:sz w:val="18"/>
                      <w:szCs w:val="18"/>
                      <w:lang w:val="en-US" w:eastAsia="zh-CN"/>
                    </w:rPr>
                  </w:pPr>
                  <w:r>
                    <w:rPr>
                      <w:rFonts w:hint="default" w:ascii="Times New Roman" w:hAnsi="Times New Roman" w:eastAsia="宋体" w:cs="Times New Roman"/>
                      <w:b/>
                      <w:bCs/>
                      <w:color w:val="auto"/>
                      <w:sz w:val="18"/>
                      <w:szCs w:val="18"/>
                      <w:lang w:val="en-US" w:eastAsia="zh-CN"/>
                    </w:rPr>
                    <w:t>pH</w:t>
                  </w:r>
                </w:p>
              </w:tc>
              <w:tc>
                <w:tcPr>
                  <w:tcW w:w="670" w:type="dxa"/>
                  <w:vAlign w:val="center"/>
                </w:tcPr>
                <w:p>
                  <w:pPr>
                    <w:bidi w:val="0"/>
                    <w:jc w:val="center"/>
                    <w:rPr>
                      <w:rFonts w:hint="default" w:ascii="Times New Roman" w:hAnsi="Times New Roman" w:eastAsia="宋体" w:cs="Times New Roman"/>
                      <w:b/>
                      <w:bCs/>
                      <w:color w:val="auto"/>
                      <w:sz w:val="18"/>
                      <w:szCs w:val="18"/>
                      <w:lang w:val="en-US" w:eastAsia="zh-CN"/>
                    </w:rPr>
                  </w:pPr>
                  <w:r>
                    <w:rPr>
                      <w:rFonts w:hint="default" w:ascii="Times New Roman" w:hAnsi="Times New Roman" w:eastAsia="宋体" w:cs="Times New Roman"/>
                      <w:b/>
                      <w:bCs/>
                      <w:color w:val="auto"/>
                      <w:sz w:val="18"/>
                      <w:szCs w:val="18"/>
                      <w:lang w:val="en-US" w:eastAsia="zh-CN"/>
                    </w:rPr>
                    <w:t>高锰酸盐指数</w:t>
                  </w:r>
                </w:p>
              </w:tc>
              <w:tc>
                <w:tcPr>
                  <w:tcW w:w="625" w:type="dxa"/>
                  <w:vAlign w:val="center"/>
                </w:tcPr>
                <w:p>
                  <w:pPr>
                    <w:bidi w:val="0"/>
                    <w:jc w:val="center"/>
                    <w:rPr>
                      <w:rFonts w:hint="default" w:ascii="Times New Roman" w:hAnsi="Times New Roman" w:eastAsia="宋体" w:cs="Times New Roman"/>
                      <w:b/>
                      <w:bCs/>
                      <w:color w:val="auto"/>
                      <w:sz w:val="18"/>
                      <w:szCs w:val="18"/>
                      <w:lang w:val="en-US" w:eastAsia="zh-CN"/>
                    </w:rPr>
                  </w:pPr>
                  <w:r>
                    <w:rPr>
                      <w:rFonts w:hint="default" w:ascii="Times New Roman" w:hAnsi="Times New Roman" w:eastAsia="宋体" w:cs="Times New Roman"/>
                      <w:b/>
                      <w:bCs/>
                      <w:color w:val="auto"/>
                      <w:sz w:val="18"/>
                      <w:szCs w:val="18"/>
                      <w:lang w:val="en-US" w:eastAsia="zh-CN"/>
                    </w:rPr>
                    <w:t>COD</w:t>
                  </w:r>
                </w:p>
              </w:tc>
              <w:tc>
                <w:tcPr>
                  <w:tcW w:w="665" w:type="dxa"/>
                  <w:vAlign w:val="center"/>
                </w:tcPr>
                <w:p>
                  <w:pPr>
                    <w:bidi w:val="0"/>
                    <w:jc w:val="center"/>
                    <w:rPr>
                      <w:rFonts w:hint="default" w:ascii="Times New Roman" w:hAnsi="Times New Roman" w:eastAsia="宋体" w:cs="Times New Roman"/>
                      <w:b/>
                      <w:bCs/>
                      <w:color w:val="auto"/>
                      <w:sz w:val="18"/>
                      <w:szCs w:val="18"/>
                      <w:lang w:val="en-US" w:eastAsia="zh-CN"/>
                    </w:rPr>
                  </w:pPr>
                  <w:r>
                    <w:rPr>
                      <w:rFonts w:hint="default" w:ascii="Times New Roman" w:hAnsi="Times New Roman" w:eastAsia="宋体" w:cs="Times New Roman"/>
                      <w:b/>
                      <w:bCs/>
                      <w:color w:val="auto"/>
                      <w:sz w:val="18"/>
                      <w:szCs w:val="18"/>
                      <w:lang w:val="en-US" w:eastAsia="zh-CN"/>
                    </w:rPr>
                    <w:t>BOD</w:t>
                  </w:r>
                  <w:r>
                    <w:rPr>
                      <w:rFonts w:hint="default" w:ascii="Times New Roman" w:hAnsi="Times New Roman" w:eastAsia="宋体" w:cs="Times New Roman"/>
                      <w:b/>
                      <w:bCs/>
                      <w:color w:val="auto"/>
                      <w:sz w:val="18"/>
                      <w:szCs w:val="18"/>
                      <w:vertAlign w:val="subscript"/>
                      <w:lang w:val="en-US" w:eastAsia="zh-CN"/>
                    </w:rPr>
                    <w:t>5</w:t>
                  </w:r>
                </w:p>
              </w:tc>
              <w:tc>
                <w:tcPr>
                  <w:tcW w:w="623" w:type="dxa"/>
                  <w:vAlign w:val="center"/>
                </w:tcPr>
                <w:p>
                  <w:pPr>
                    <w:bidi w:val="0"/>
                    <w:jc w:val="center"/>
                    <w:rPr>
                      <w:rFonts w:hint="default" w:ascii="Times New Roman" w:hAnsi="Times New Roman" w:eastAsia="宋体" w:cs="Times New Roman"/>
                      <w:b/>
                      <w:bCs/>
                      <w:color w:val="auto"/>
                      <w:sz w:val="18"/>
                      <w:szCs w:val="18"/>
                      <w:lang w:val="en-US" w:eastAsia="zh-CN"/>
                    </w:rPr>
                  </w:pPr>
                  <w:r>
                    <w:rPr>
                      <w:rFonts w:hint="default" w:ascii="Times New Roman" w:hAnsi="Times New Roman" w:eastAsia="宋体" w:cs="Times New Roman"/>
                      <w:b/>
                      <w:bCs/>
                      <w:color w:val="auto"/>
                      <w:sz w:val="18"/>
                      <w:szCs w:val="18"/>
                      <w:lang w:val="en-US" w:eastAsia="zh-CN"/>
                    </w:rPr>
                    <w:t>氨氮</w:t>
                  </w:r>
                </w:p>
              </w:tc>
              <w:tc>
                <w:tcPr>
                  <w:tcW w:w="775" w:type="dxa"/>
                  <w:vAlign w:val="center"/>
                </w:tcPr>
                <w:p>
                  <w:pPr>
                    <w:bidi w:val="0"/>
                    <w:jc w:val="center"/>
                    <w:rPr>
                      <w:rFonts w:hint="default" w:ascii="Times New Roman" w:hAnsi="Times New Roman" w:eastAsia="宋体" w:cs="Times New Roman"/>
                      <w:b/>
                      <w:bCs/>
                      <w:color w:val="auto"/>
                      <w:sz w:val="18"/>
                      <w:szCs w:val="18"/>
                      <w:lang w:val="en-US" w:eastAsia="zh-CN"/>
                    </w:rPr>
                  </w:pPr>
                  <w:r>
                    <w:rPr>
                      <w:rFonts w:hint="default" w:ascii="Times New Roman" w:hAnsi="Times New Roman" w:eastAsia="宋体" w:cs="Times New Roman"/>
                      <w:b/>
                      <w:bCs/>
                      <w:color w:val="auto"/>
                      <w:sz w:val="18"/>
                      <w:szCs w:val="18"/>
                      <w:lang w:val="en-US" w:eastAsia="zh-CN"/>
                    </w:rPr>
                    <w:t>总氮（湖、库以N计）</w:t>
                  </w:r>
                </w:p>
              </w:tc>
              <w:tc>
                <w:tcPr>
                  <w:tcW w:w="921" w:type="dxa"/>
                  <w:vAlign w:val="center"/>
                </w:tcPr>
                <w:p>
                  <w:pPr>
                    <w:bidi w:val="0"/>
                    <w:jc w:val="center"/>
                    <w:rPr>
                      <w:rFonts w:hint="default" w:ascii="Times New Roman" w:hAnsi="Times New Roman" w:eastAsia="宋体" w:cs="Times New Roman"/>
                      <w:b/>
                      <w:bCs/>
                      <w:color w:val="auto"/>
                      <w:sz w:val="18"/>
                      <w:szCs w:val="18"/>
                      <w:lang w:val="en-US" w:eastAsia="zh-CN"/>
                    </w:rPr>
                  </w:pPr>
                  <w:r>
                    <w:rPr>
                      <w:rFonts w:hint="default" w:ascii="Times New Roman" w:hAnsi="Times New Roman" w:eastAsia="宋体" w:cs="Times New Roman"/>
                      <w:b/>
                      <w:bCs/>
                      <w:color w:val="auto"/>
                      <w:sz w:val="18"/>
                      <w:szCs w:val="18"/>
                      <w:lang w:val="en-US" w:eastAsia="zh-CN"/>
                    </w:rPr>
                    <w:t>总磷（以P计）</w:t>
                  </w:r>
                </w:p>
              </w:tc>
              <w:tc>
                <w:tcPr>
                  <w:tcW w:w="809" w:type="dxa"/>
                  <w:vAlign w:val="center"/>
                </w:tcPr>
                <w:p>
                  <w:pPr>
                    <w:bidi w:val="0"/>
                    <w:jc w:val="center"/>
                    <w:rPr>
                      <w:rFonts w:hint="default" w:ascii="Times New Roman" w:hAnsi="Times New Roman" w:eastAsia="宋体" w:cs="Times New Roman"/>
                      <w:b/>
                      <w:bCs/>
                      <w:color w:val="auto"/>
                      <w:sz w:val="18"/>
                      <w:szCs w:val="18"/>
                      <w:lang w:val="en-US" w:eastAsia="zh-CN"/>
                    </w:rPr>
                  </w:pPr>
                  <w:r>
                    <w:rPr>
                      <w:rFonts w:hint="default" w:ascii="Times New Roman" w:hAnsi="Times New Roman" w:eastAsia="宋体" w:cs="Times New Roman"/>
                      <w:b/>
                      <w:bCs/>
                      <w:color w:val="auto"/>
                      <w:sz w:val="18"/>
                      <w:szCs w:val="18"/>
                      <w:lang w:val="en-US" w:eastAsia="zh-CN"/>
                    </w:rPr>
                    <w:t>石油类</w:t>
                  </w:r>
                </w:p>
              </w:tc>
              <w:tc>
                <w:tcPr>
                  <w:tcW w:w="697" w:type="dxa"/>
                  <w:vAlign w:val="center"/>
                </w:tcPr>
                <w:p>
                  <w:pPr>
                    <w:bidi w:val="0"/>
                    <w:jc w:val="center"/>
                    <w:rPr>
                      <w:rFonts w:hint="default" w:ascii="Times New Roman" w:hAnsi="Times New Roman" w:eastAsia="宋体" w:cs="Times New Roman"/>
                      <w:b/>
                      <w:bCs/>
                      <w:color w:val="auto"/>
                      <w:sz w:val="18"/>
                      <w:szCs w:val="18"/>
                      <w:lang w:val="en-US" w:eastAsia="zh-CN"/>
                    </w:rPr>
                  </w:pPr>
                  <w:r>
                    <w:rPr>
                      <w:rFonts w:hint="default" w:ascii="Times New Roman" w:hAnsi="Times New Roman" w:eastAsia="宋体" w:cs="Times New Roman"/>
                      <w:b/>
                      <w:bCs/>
                      <w:color w:val="auto"/>
                      <w:sz w:val="18"/>
                      <w:szCs w:val="18"/>
                      <w:lang w:val="en-US" w:eastAsia="zh-CN"/>
                    </w:rPr>
                    <w:t>阴离子</w:t>
                  </w:r>
                </w:p>
              </w:tc>
              <w:tc>
                <w:tcPr>
                  <w:tcW w:w="903" w:type="dxa"/>
                  <w:vAlign w:val="center"/>
                </w:tcPr>
                <w:p>
                  <w:pPr>
                    <w:bidi w:val="0"/>
                    <w:jc w:val="center"/>
                    <w:rPr>
                      <w:rFonts w:hint="default" w:ascii="Times New Roman" w:hAnsi="Times New Roman" w:eastAsia="宋体" w:cs="Times New Roman"/>
                      <w:b/>
                      <w:bCs/>
                      <w:color w:val="auto"/>
                      <w:sz w:val="18"/>
                      <w:szCs w:val="18"/>
                      <w:lang w:val="en-US" w:eastAsia="zh-CN"/>
                    </w:rPr>
                  </w:pPr>
                  <w:r>
                    <w:rPr>
                      <w:rFonts w:hint="default" w:ascii="Times New Roman" w:hAnsi="Times New Roman" w:eastAsia="宋体" w:cs="Times New Roman"/>
                      <w:b/>
                      <w:bCs/>
                      <w:color w:val="auto"/>
                      <w:sz w:val="18"/>
                      <w:szCs w:val="18"/>
                      <w:lang w:val="en-US" w:eastAsia="zh-CN"/>
                    </w:rPr>
                    <w:t>粪大肠菌群（个/L）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vAlign w:val="center"/>
                </w:tcPr>
                <w:p>
                  <w:pPr>
                    <w:bidi w:val="0"/>
                    <w:jc w:val="center"/>
                    <w:rPr>
                      <w:rFonts w:hint="default" w:ascii="Times New Roman" w:hAnsi="Times New Roman" w:eastAsia="宋体" w:cs="Times New Roman"/>
                      <w:color w:val="auto"/>
                      <w:sz w:val="18"/>
                      <w:szCs w:val="18"/>
                      <w:lang w:val="en-US" w:eastAsia="zh-CN"/>
                    </w:rPr>
                  </w:pPr>
                  <w:r>
                    <w:rPr>
                      <w:rFonts w:hint="eastAsia" w:ascii="宋体" w:hAnsi="宋体" w:eastAsia="宋体" w:cs="宋体"/>
                      <w:color w:val="auto"/>
                      <w:sz w:val="18"/>
                      <w:szCs w:val="18"/>
                      <w:lang w:val="en-US" w:eastAsia="zh-CN"/>
                    </w:rPr>
                    <w:t>Ⅱ</w:t>
                  </w:r>
                  <w:r>
                    <w:rPr>
                      <w:rFonts w:hint="default" w:ascii="Times New Roman" w:hAnsi="Times New Roman" w:eastAsia="宋体" w:cs="Times New Roman"/>
                      <w:color w:val="auto"/>
                      <w:sz w:val="18"/>
                      <w:szCs w:val="18"/>
                      <w:lang w:val="en-US" w:eastAsia="zh-CN"/>
                    </w:rPr>
                    <w:t>类</w:t>
                  </w:r>
                </w:p>
              </w:tc>
              <w:tc>
                <w:tcPr>
                  <w:tcW w:w="524" w:type="dxa"/>
                  <w:vAlign w:val="center"/>
                </w:tcPr>
                <w:p>
                  <w:pPr>
                    <w:bidi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6-9</w:t>
                  </w:r>
                </w:p>
              </w:tc>
              <w:tc>
                <w:tcPr>
                  <w:tcW w:w="670" w:type="dxa"/>
                  <w:vAlign w:val="center"/>
                </w:tcPr>
                <w:p>
                  <w:pPr>
                    <w:bidi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w:t>
                  </w:r>
                  <w:r>
                    <w:rPr>
                      <w:rFonts w:hint="eastAsia" w:ascii="Times New Roman" w:hAnsi="Times New Roman" w:eastAsia="宋体" w:cs="Times New Roman"/>
                      <w:color w:val="auto"/>
                      <w:sz w:val="18"/>
                      <w:szCs w:val="18"/>
                      <w:lang w:val="en-US" w:eastAsia="zh-CN"/>
                    </w:rPr>
                    <w:t>4</w:t>
                  </w:r>
                </w:p>
              </w:tc>
              <w:tc>
                <w:tcPr>
                  <w:tcW w:w="625" w:type="dxa"/>
                  <w:vAlign w:val="center"/>
                </w:tcPr>
                <w:p>
                  <w:pPr>
                    <w:bidi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w:t>
                  </w:r>
                  <w:r>
                    <w:rPr>
                      <w:rFonts w:hint="eastAsia" w:ascii="Times New Roman" w:hAnsi="Times New Roman" w:eastAsia="宋体" w:cs="Times New Roman"/>
                      <w:color w:val="auto"/>
                      <w:sz w:val="18"/>
                      <w:szCs w:val="18"/>
                      <w:lang w:val="en-US" w:eastAsia="zh-CN"/>
                    </w:rPr>
                    <w:t>15</w:t>
                  </w:r>
                </w:p>
              </w:tc>
              <w:tc>
                <w:tcPr>
                  <w:tcW w:w="665" w:type="dxa"/>
                  <w:vAlign w:val="center"/>
                </w:tcPr>
                <w:p>
                  <w:pPr>
                    <w:bidi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w:t>
                  </w:r>
                  <w:r>
                    <w:rPr>
                      <w:rFonts w:hint="eastAsia" w:ascii="Times New Roman" w:hAnsi="Times New Roman" w:eastAsia="宋体" w:cs="Times New Roman"/>
                      <w:color w:val="auto"/>
                      <w:sz w:val="18"/>
                      <w:szCs w:val="18"/>
                      <w:lang w:val="en-US" w:eastAsia="zh-CN"/>
                    </w:rPr>
                    <w:t>3</w:t>
                  </w:r>
                </w:p>
              </w:tc>
              <w:tc>
                <w:tcPr>
                  <w:tcW w:w="623" w:type="dxa"/>
                  <w:vAlign w:val="center"/>
                </w:tcPr>
                <w:p>
                  <w:pPr>
                    <w:bidi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w:t>
                  </w:r>
                  <w:r>
                    <w:rPr>
                      <w:rFonts w:hint="eastAsia" w:ascii="Times New Roman" w:hAnsi="Times New Roman" w:eastAsia="宋体" w:cs="Times New Roman"/>
                      <w:color w:val="auto"/>
                      <w:sz w:val="18"/>
                      <w:szCs w:val="18"/>
                      <w:lang w:val="en-US" w:eastAsia="zh-CN"/>
                    </w:rPr>
                    <w:t>0.5</w:t>
                  </w:r>
                </w:p>
              </w:tc>
              <w:tc>
                <w:tcPr>
                  <w:tcW w:w="775" w:type="dxa"/>
                  <w:vAlign w:val="center"/>
                </w:tcPr>
                <w:p>
                  <w:pPr>
                    <w:bidi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w:t>
                  </w:r>
                  <w:r>
                    <w:rPr>
                      <w:rFonts w:hint="eastAsia" w:ascii="Times New Roman" w:hAnsi="Times New Roman" w:eastAsia="宋体" w:cs="Times New Roman"/>
                      <w:color w:val="auto"/>
                      <w:sz w:val="18"/>
                      <w:szCs w:val="18"/>
                      <w:lang w:val="en-US" w:eastAsia="zh-CN"/>
                    </w:rPr>
                    <w:t>0.5</w:t>
                  </w:r>
                </w:p>
              </w:tc>
              <w:tc>
                <w:tcPr>
                  <w:tcW w:w="921" w:type="dxa"/>
                  <w:vAlign w:val="center"/>
                </w:tcPr>
                <w:p>
                  <w:pPr>
                    <w:bidi w:val="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湖、库</w:t>
                  </w:r>
                  <w:r>
                    <w:rPr>
                      <w:rFonts w:hint="default" w:ascii="Times New Roman" w:hAnsi="Times New Roman" w:eastAsia="宋体" w:cs="Times New Roman"/>
                      <w:color w:val="auto"/>
                      <w:sz w:val="18"/>
                      <w:szCs w:val="18"/>
                      <w:lang w:val="en-US" w:eastAsia="zh-CN"/>
                    </w:rPr>
                    <w:t>≤</w:t>
                  </w:r>
                  <w:r>
                    <w:rPr>
                      <w:rFonts w:hint="eastAsia" w:ascii="Times New Roman" w:hAnsi="Times New Roman" w:eastAsia="宋体" w:cs="Times New Roman"/>
                      <w:color w:val="auto"/>
                      <w:sz w:val="18"/>
                      <w:szCs w:val="18"/>
                      <w:lang w:val="en-US" w:eastAsia="zh-CN"/>
                    </w:rPr>
                    <w:t>0.025</w:t>
                  </w:r>
                </w:p>
              </w:tc>
              <w:tc>
                <w:tcPr>
                  <w:tcW w:w="809" w:type="dxa"/>
                  <w:vAlign w:val="center"/>
                </w:tcPr>
                <w:p>
                  <w:pPr>
                    <w:bidi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≤0.05</w:t>
                  </w:r>
                </w:p>
              </w:tc>
              <w:tc>
                <w:tcPr>
                  <w:tcW w:w="697" w:type="dxa"/>
                  <w:vAlign w:val="center"/>
                </w:tcPr>
                <w:p>
                  <w:pPr>
                    <w:bidi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≤0.2</w:t>
                  </w:r>
                </w:p>
              </w:tc>
              <w:tc>
                <w:tcPr>
                  <w:tcW w:w="903" w:type="dxa"/>
                  <w:vAlign w:val="center"/>
                </w:tcPr>
                <w:p>
                  <w:pPr>
                    <w:bidi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w:t>
                  </w:r>
                  <w:r>
                    <w:rPr>
                      <w:rFonts w:hint="eastAsia" w:ascii="Times New Roman" w:hAnsi="Times New Roman" w:eastAsia="宋体" w:cs="Times New Roman"/>
                      <w:color w:val="auto"/>
                      <w:sz w:val="18"/>
                      <w:szCs w:val="18"/>
                      <w:lang w:val="en-US" w:eastAsia="zh-CN"/>
                    </w:rPr>
                    <w:t>2000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3</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sz w:val="24"/>
                <w:szCs w:val="24"/>
                <w:lang w:val="en-US" w:eastAsia="zh-CN"/>
              </w:rPr>
              <w:t>声环境质量标准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项目位于</w:t>
            </w:r>
            <w:r>
              <w:rPr>
                <w:rFonts w:hint="eastAsia" w:ascii="Times New Roman" w:hAnsi="Times New Roman" w:eastAsia="宋体" w:cs="Times New Roman"/>
                <w:color w:val="auto"/>
                <w:sz w:val="24"/>
                <w:szCs w:val="24"/>
                <w:lang w:val="en-US" w:eastAsia="zh-CN"/>
              </w:rPr>
              <w:t>洱源县牛街乡太平村</w:t>
            </w:r>
            <w:r>
              <w:rPr>
                <w:rFonts w:hint="default" w:ascii="Times New Roman" w:hAnsi="Times New Roman" w:eastAsia="宋体" w:cs="Times New Roman"/>
                <w:color w:val="auto"/>
                <w:sz w:val="24"/>
                <w:szCs w:val="24"/>
                <w:lang w:val="en-US" w:eastAsia="zh-CN"/>
              </w:rPr>
              <w:t>，属于农村地区，声环境质量执行《声环境质量标准》（GB3096-2008）2类标准，</w:t>
            </w:r>
            <w:r>
              <w:rPr>
                <w:rFonts w:hint="eastAsia" w:ascii="Times New Roman" w:hAnsi="Times New Roman" w:eastAsia="宋体" w:cs="Times New Roman"/>
                <w:color w:val="auto"/>
                <w:sz w:val="24"/>
                <w:szCs w:val="24"/>
                <w:lang w:val="en-US" w:eastAsia="zh-CN"/>
              </w:rPr>
              <w:t>项目东侧紧邻大丽高速，大丽高速边界35</w:t>
            </w:r>
            <w:r>
              <w:rPr>
                <w:rFonts w:hint="default" w:ascii="Times New Roman" w:hAnsi="Times New Roman" w:eastAsia="宋体" w:cs="Times New Roman"/>
                <w:color w:val="auto"/>
                <w:sz w:val="24"/>
                <w:szCs w:val="24"/>
                <w:lang w:val="en-US" w:eastAsia="zh-CN"/>
              </w:rPr>
              <w:t>±5m</w:t>
            </w:r>
            <w:r>
              <w:rPr>
                <w:rFonts w:hint="eastAsia" w:ascii="Times New Roman" w:hAnsi="Times New Roman" w:eastAsia="宋体" w:cs="Times New Roman"/>
                <w:color w:val="auto"/>
                <w:sz w:val="24"/>
                <w:szCs w:val="24"/>
                <w:lang w:val="en-US" w:eastAsia="zh-CN"/>
              </w:rPr>
              <w:t>区域执行4a类标准，</w:t>
            </w:r>
            <w:r>
              <w:rPr>
                <w:rFonts w:hint="default" w:ascii="Times New Roman" w:hAnsi="Times New Roman" w:eastAsia="宋体" w:cs="Times New Roman"/>
                <w:color w:val="auto"/>
                <w:sz w:val="24"/>
                <w:szCs w:val="24"/>
                <w:lang w:val="en-US" w:eastAsia="zh-CN"/>
              </w:rPr>
              <w:t>标准值见下表；</w:t>
            </w:r>
          </w:p>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z w:val="21"/>
                <w:szCs w:val="21"/>
                <w:lang w:val="en-US" w:eastAsia="zh-CN"/>
              </w:rPr>
              <w:t>3-</w:t>
            </w:r>
            <w:r>
              <w:rPr>
                <w:rFonts w:hint="eastAsia" w:ascii="Times New Roman" w:hAnsi="Times New Roman" w:eastAsia="宋体" w:cs="Times New Roman"/>
                <w:b/>
                <w:bCs/>
                <w:color w:val="auto"/>
                <w:sz w:val="21"/>
                <w:szCs w:val="21"/>
                <w:lang w:val="en-US" w:eastAsia="zh-CN"/>
              </w:rPr>
              <w:t>6</w:t>
            </w:r>
            <w:r>
              <w:rPr>
                <w:rFonts w:hint="default" w:ascii="Times New Roman" w:hAnsi="Times New Roman" w:eastAsia="宋体" w:cs="Times New Roman"/>
                <w:b/>
                <w:bCs/>
                <w:color w:val="auto"/>
                <w:sz w:val="21"/>
                <w:szCs w:val="21"/>
              </w:rPr>
              <w:t xml:space="preserve">   声环境质量标准    单位：dB（A）</w:t>
            </w:r>
          </w:p>
          <w:tbl>
            <w:tblPr>
              <w:tblStyle w:val="6"/>
              <w:tblW w:w="7752" w:type="dxa"/>
              <w:jc w:val="center"/>
              <w:tblInd w:w="0" w:type="dxa"/>
              <w:tblLayout w:type="fixed"/>
              <w:tblCellMar>
                <w:top w:w="0" w:type="dxa"/>
                <w:left w:w="108" w:type="dxa"/>
                <w:bottom w:w="0" w:type="dxa"/>
                <w:right w:w="108" w:type="dxa"/>
              </w:tblCellMar>
            </w:tblPr>
            <w:tblGrid>
              <w:gridCol w:w="1643"/>
              <w:gridCol w:w="2795"/>
              <w:gridCol w:w="1619"/>
              <w:gridCol w:w="1695"/>
            </w:tblGrid>
            <w:tr>
              <w:tblPrEx>
                <w:tblLayout w:type="fixed"/>
                <w:tblCellMar>
                  <w:top w:w="0" w:type="dxa"/>
                  <w:left w:w="108" w:type="dxa"/>
                  <w:bottom w:w="0" w:type="dxa"/>
                  <w:right w:w="108" w:type="dxa"/>
                </w:tblCellMar>
              </w:tblPrEx>
              <w:trPr>
                <w:trHeight w:val="123" w:hRule="atLeast"/>
                <w:jc w:val="center"/>
              </w:trPr>
              <w:tc>
                <w:tcPr>
                  <w:tcW w:w="1643"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类别</w:t>
                  </w:r>
                </w:p>
              </w:tc>
              <w:tc>
                <w:tcPr>
                  <w:tcW w:w="2795" w:type="dxa"/>
                  <w:vMerge w:val="restart"/>
                  <w:tcBorders>
                    <w:top w:val="single" w:color="auto" w:sz="8" w:space="0"/>
                    <w:left w:val="nil"/>
                    <w:bottom w:val="single" w:color="auto" w:sz="4" w:space="0"/>
                    <w:right w:val="single" w:color="auto" w:sz="4" w:space="0"/>
                  </w:tcBorders>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适用区域</w:t>
                  </w:r>
                </w:p>
              </w:tc>
              <w:tc>
                <w:tcPr>
                  <w:tcW w:w="3314" w:type="dxa"/>
                  <w:gridSpan w:val="2"/>
                  <w:tcBorders>
                    <w:top w:val="single" w:color="auto" w:sz="8" w:space="0"/>
                    <w:left w:val="nil"/>
                    <w:bottom w:val="single" w:color="auto" w:sz="4" w:space="0"/>
                    <w:right w:val="single" w:color="auto" w:sz="8" w:space="0"/>
                  </w:tcBorders>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等效声级</w:t>
                  </w:r>
                </w:p>
              </w:tc>
            </w:tr>
            <w:tr>
              <w:tblPrEx>
                <w:tblLayout w:type="fixed"/>
                <w:tblCellMar>
                  <w:top w:w="0" w:type="dxa"/>
                  <w:left w:w="108" w:type="dxa"/>
                  <w:bottom w:w="0" w:type="dxa"/>
                  <w:right w:w="108" w:type="dxa"/>
                </w:tblCellMar>
              </w:tblPrEx>
              <w:trPr>
                <w:trHeight w:val="123" w:hRule="atLeast"/>
                <w:jc w:val="center"/>
              </w:trPr>
              <w:tc>
                <w:tcPr>
                  <w:tcW w:w="1643"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auto"/>
                      <w:sz w:val="21"/>
                      <w:szCs w:val="21"/>
                    </w:rPr>
                  </w:pPr>
                </w:p>
              </w:tc>
              <w:tc>
                <w:tcPr>
                  <w:tcW w:w="2795" w:type="dxa"/>
                  <w:vMerge w:val="continue"/>
                  <w:tcBorders>
                    <w:top w:val="single" w:color="auto" w:sz="8" w:space="0"/>
                    <w:left w:val="nil"/>
                    <w:bottom w:val="single" w:color="auto" w:sz="4" w:space="0"/>
                    <w:right w:val="single" w:color="auto" w:sz="4" w:space="0"/>
                  </w:tcBorders>
                  <w:vAlign w:val="center"/>
                </w:tcPr>
                <w:p>
                  <w:pPr>
                    <w:widowControl/>
                    <w:jc w:val="left"/>
                    <w:rPr>
                      <w:rFonts w:hint="default" w:ascii="Times New Roman" w:hAnsi="Times New Roman" w:eastAsia="宋体" w:cs="Times New Roman"/>
                      <w:color w:val="auto"/>
                      <w:sz w:val="21"/>
                      <w:szCs w:val="21"/>
                    </w:rPr>
                  </w:pPr>
                </w:p>
              </w:tc>
              <w:tc>
                <w:tcPr>
                  <w:tcW w:w="161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695" w:type="dxa"/>
                  <w:tcBorders>
                    <w:top w:val="single" w:color="auto" w:sz="4" w:space="0"/>
                    <w:left w:val="nil"/>
                    <w:bottom w:val="single" w:color="auto" w:sz="4" w:space="0"/>
                    <w:right w:val="single" w:color="auto" w:sz="8"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r>
            <w:tr>
              <w:tblPrEx>
                <w:tblLayout w:type="fixed"/>
                <w:tblCellMar>
                  <w:top w:w="0" w:type="dxa"/>
                  <w:left w:w="108" w:type="dxa"/>
                  <w:bottom w:w="0" w:type="dxa"/>
                  <w:right w:w="108" w:type="dxa"/>
                </w:tblCellMar>
              </w:tblPrEx>
              <w:trPr>
                <w:trHeight w:val="323" w:hRule="atLeast"/>
                <w:jc w:val="center"/>
              </w:trPr>
              <w:tc>
                <w:tcPr>
                  <w:tcW w:w="1643" w:type="dxa"/>
                  <w:tcBorders>
                    <w:top w:val="single" w:color="auto" w:sz="4" w:space="0"/>
                    <w:left w:val="single" w:color="auto" w:sz="8" w:space="0"/>
                    <w:bottom w:val="single" w:color="auto" w:sz="4" w:space="0"/>
                    <w:right w:val="single" w:color="auto"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2类</w:t>
                  </w:r>
                </w:p>
              </w:tc>
              <w:tc>
                <w:tcPr>
                  <w:tcW w:w="2795"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居住、商业、工业混杂</w:t>
                  </w:r>
                </w:p>
              </w:tc>
              <w:tc>
                <w:tcPr>
                  <w:tcW w:w="161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1695" w:type="dxa"/>
                  <w:tcBorders>
                    <w:top w:val="single" w:color="auto" w:sz="4" w:space="0"/>
                    <w:left w:val="nil"/>
                    <w:bottom w:val="single" w:color="auto" w:sz="4" w:space="0"/>
                    <w:right w:val="single" w:color="auto" w:sz="8" w:space="0"/>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w:t>
                  </w:r>
                </w:p>
              </w:tc>
            </w:tr>
            <w:tr>
              <w:tblPrEx>
                <w:tblLayout w:type="fixed"/>
                <w:tblCellMar>
                  <w:top w:w="0" w:type="dxa"/>
                  <w:left w:w="108" w:type="dxa"/>
                  <w:bottom w:w="0" w:type="dxa"/>
                  <w:right w:w="108" w:type="dxa"/>
                </w:tblCellMar>
              </w:tblPrEx>
              <w:trPr>
                <w:trHeight w:val="323" w:hRule="atLeast"/>
                <w:jc w:val="center"/>
              </w:trPr>
              <w:tc>
                <w:tcPr>
                  <w:tcW w:w="1643" w:type="dxa"/>
                  <w:tcBorders>
                    <w:top w:val="single" w:color="auto" w:sz="4" w:space="0"/>
                    <w:left w:val="single" w:color="auto" w:sz="8" w:space="0"/>
                    <w:bottom w:val="single" w:color="auto" w:sz="4" w:space="0"/>
                    <w:right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4a类</w:t>
                  </w:r>
                </w:p>
              </w:tc>
              <w:tc>
                <w:tcPr>
                  <w:tcW w:w="2795"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高速公路两侧</w:t>
                  </w:r>
                </w:p>
              </w:tc>
              <w:tc>
                <w:tcPr>
                  <w:tcW w:w="161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70</w:t>
                  </w:r>
                </w:p>
              </w:tc>
              <w:tc>
                <w:tcPr>
                  <w:tcW w:w="1695" w:type="dxa"/>
                  <w:tcBorders>
                    <w:top w:val="single" w:color="auto" w:sz="4" w:space="0"/>
                    <w:left w:val="nil"/>
                    <w:bottom w:val="single" w:color="auto" w:sz="4" w:space="0"/>
                    <w:right w:val="single" w:color="auto" w:sz="8" w:space="0"/>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55</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4"/>
                <w:szCs w:val="24"/>
                <w:lang w:val="en-US" w:eastAsia="zh-CN"/>
              </w:rPr>
            </w:pPr>
            <w:r>
              <w:rPr>
                <w:rFonts w:hint="eastAsia"/>
                <w:color w:val="auto"/>
                <w:lang w:val="en-US" w:eastAsia="zh-CN"/>
              </w:rPr>
              <w:t>二、</w:t>
            </w:r>
            <w:r>
              <w:rPr>
                <w:rFonts w:hint="default" w:ascii="Times New Roman" w:hAnsi="Times New Roman" w:eastAsia="宋体" w:cs="Times New Roman"/>
                <w:color w:val="auto"/>
                <w:sz w:val="24"/>
                <w:szCs w:val="24"/>
                <w:lang w:val="en-US" w:eastAsia="zh-CN"/>
              </w:rPr>
              <w:t>污染物排放标准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1、</w:t>
            </w:r>
            <w:r>
              <w:rPr>
                <w:rFonts w:hint="default" w:ascii="Times New Roman" w:hAnsi="Times New Roman" w:eastAsia="宋体" w:cs="Times New Roman"/>
                <w:color w:val="auto"/>
                <w:sz w:val="24"/>
                <w:szCs w:val="24"/>
                <w:lang w:val="en-US" w:eastAsia="zh-CN"/>
              </w:rPr>
              <w:t>水污染物排放标准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施工期：项目施工产生的施工废水经沉淀池处理后回用于洒水降尘，施工人员生活污水利用周边公用设施。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lang w:val="en-US" w:eastAsia="zh-CN"/>
              </w:rPr>
            </w:pPr>
            <w:r>
              <w:rPr>
                <w:rFonts w:hint="default" w:ascii="Times New Roman" w:hAnsi="Times New Roman" w:eastAsia="宋体" w:cs="Times New Roman"/>
                <w:color w:val="auto"/>
                <w:sz w:val="24"/>
                <w:szCs w:val="24"/>
                <w:lang w:val="en-US" w:eastAsia="zh-CN"/>
              </w:rPr>
              <w:t>运营期：运营期产生的废水主要为生活污水、洗涤废水、锅炉废水、软水制备浓水。项目属于布草洗涤，项目废水属于</w:t>
            </w:r>
            <w:r>
              <w:rPr>
                <w:rFonts w:hint="eastAsia" w:ascii="Times New Roman" w:hAnsi="Times New Roman" w:eastAsia="宋体" w:cs="Times New Roman"/>
                <w:color w:val="auto"/>
                <w:sz w:val="24"/>
                <w:szCs w:val="24"/>
                <w:lang w:val="en-US" w:eastAsia="zh-CN"/>
              </w:rPr>
              <w:t>城镇污水中商业服务机构排水。项目生产废水经化粪池处理达到《污水综合排放标准》（GB8978-1996）三级标准及《污水排入城镇下水道水质标准》（GB/T31962-2015）A级标准，排入市政污水管网，产生的生活污水经化粪池处理达到《污水综合排放标准》（GB8978-1996）三级标准及《污水排入城镇下水道水质标准》（GB/T31962-2015）A级标准，排入市政污水管网，最终进入牛街乡污水处理厂进行处理。</w:t>
            </w:r>
          </w:p>
          <w:p>
            <w:pPr>
              <w:tabs>
                <w:tab w:val="left" w:pos="2895"/>
              </w:tabs>
              <w:adjustRightInd w:val="0"/>
              <w:snapToGrid w:val="0"/>
              <w:spacing w:line="360" w:lineRule="auto"/>
              <w:ind w:firstLine="517" w:firstLineChars="245"/>
              <w:jc w:val="center"/>
              <w:rPr>
                <w:rFonts w:hint="eastAsia" w:ascii="Times New Roman" w:hAnsi="Times New Roman"/>
                <w:b/>
                <w:bCs w:val="0"/>
                <w:color w:val="auto"/>
                <w:sz w:val="21"/>
                <w:szCs w:val="21"/>
                <w:lang w:val="en-US" w:eastAsia="zh-CN"/>
              </w:rPr>
            </w:pPr>
            <w:r>
              <w:rPr>
                <w:rFonts w:hint="eastAsia" w:ascii="Times New Roman" w:hAnsi="Times New Roman"/>
                <w:b/>
                <w:bCs w:val="0"/>
                <w:color w:val="auto"/>
                <w:sz w:val="21"/>
                <w:szCs w:val="21"/>
                <w:lang w:eastAsia="zh-CN"/>
              </w:rPr>
              <w:t>表</w:t>
            </w:r>
            <w:r>
              <w:rPr>
                <w:rFonts w:hint="eastAsia" w:ascii="Times New Roman" w:hAnsi="Times New Roman"/>
                <w:b/>
                <w:bCs w:val="0"/>
                <w:color w:val="auto"/>
                <w:sz w:val="21"/>
                <w:szCs w:val="21"/>
                <w:lang w:val="en-US" w:eastAsia="zh-CN"/>
              </w:rPr>
              <w:t>3-7   污水综合排放标准  单位：mg/L</w:t>
            </w:r>
          </w:p>
          <w:tbl>
            <w:tblPr>
              <w:tblStyle w:val="6"/>
              <w:tblW w:w="7902" w:type="dxa"/>
              <w:jc w:val="center"/>
              <w:tblInd w:w="0" w:type="dxa"/>
              <w:tblLayout w:type="fixed"/>
              <w:tblCellMar>
                <w:top w:w="0" w:type="dxa"/>
                <w:left w:w="108" w:type="dxa"/>
                <w:bottom w:w="0" w:type="dxa"/>
                <w:right w:w="108" w:type="dxa"/>
              </w:tblCellMar>
            </w:tblPr>
            <w:tblGrid>
              <w:gridCol w:w="936"/>
              <w:gridCol w:w="1188"/>
              <w:gridCol w:w="888"/>
              <w:gridCol w:w="750"/>
              <w:gridCol w:w="786"/>
              <w:gridCol w:w="913"/>
              <w:gridCol w:w="737"/>
              <w:gridCol w:w="725"/>
              <w:gridCol w:w="979"/>
            </w:tblGrid>
            <w:tr>
              <w:tblPrEx>
                <w:tblLayout w:type="fixed"/>
                <w:tblCellMar>
                  <w:top w:w="0" w:type="dxa"/>
                  <w:left w:w="108" w:type="dxa"/>
                  <w:bottom w:w="0" w:type="dxa"/>
                  <w:right w:w="108" w:type="dxa"/>
                </w:tblCellMar>
              </w:tblPrEx>
              <w:trPr>
                <w:trHeight w:val="518"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b/>
                      <w:color w:val="auto"/>
                      <w:szCs w:val="21"/>
                    </w:rPr>
                  </w:pPr>
                  <w:r>
                    <w:rPr>
                      <w:rFonts w:hint="eastAsia" w:ascii="仿宋" w:hAnsi="仿宋" w:eastAsia="仿宋" w:cs="仿宋"/>
                      <w:b/>
                      <w:color w:val="auto"/>
                      <w:szCs w:val="21"/>
                    </w:rPr>
                    <w:t>标准</w:t>
                  </w:r>
                </w:p>
              </w:tc>
              <w:tc>
                <w:tcPr>
                  <w:tcW w:w="118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b/>
                      <w:color w:val="auto"/>
                      <w:szCs w:val="21"/>
                    </w:rPr>
                  </w:pPr>
                  <w:r>
                    <w:rPr>
                      <w:rFonts w:hint="eastAsia" w:ascii="仿宋" w:hAnsi="仿宋" w:eastAsia="仿宋" w:cs="仿宋"/>
                      <w:b/>
                      <w:color w:val="auto"/>
                      <w:szCs w:val="21"/>
                    </w:rPr>
                    <w:t>pH</w:t>
                  </w:r>
                </w:p>
                <w:p>
                  <w:pPr>
                    <w:jc w:val="center"/>
                    <w:rPr>
                      <w:rFonts w:ascii="仿宋" w:hAnsi="仿宋" w:eastAsia="仿宋" w:cs="仿宋"/>
                      <w:b/>
                      <w:color w:val="auto"/>
                      <w:szCs w:val="21"/>
                    </w:rPr>
                  </w:pPr>
                  <w:r>
                    <w:rPr>
                      <w:rFonts w:hint="eastAsia" w:ascii="仿宋" w:hAnsi="仿宋" w:eastAsia="仿宋" w:cs="仿宋"/>
                      <w:b/>
                      <w:color w:val="auto"/>
                      <w:szCs w:val="21"/>
                    </w:rPr>
                    <w:t>（无量纲）</w:t>
                  </w:r>
                </w:p>
              </w:tc>
              <w:tc>
                <w:tcPr>
                  <w:tcW w:w="88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b/>
                      <w:color w:val="auto"/>
                      <w:szCs w:val="21"/>
                    </w:rPr>
                  </w:pPr>
                  <w:r>
                    <w:rPr>
                      <w:rFonts w:hint="eastAsia" w:ascii="仿宋" w:hAnsi="仿宋" w:eastAsia="仿宋" w:cs="仿宋"/>
                      <w:b/>
                      <w:color w:val="auto"/>
                      <w:szCs w:val="21"/>
                    </w:rPr>
                    <w:t>悬浮物</w:t>
                  </w:r>
                </w:p>
              </w:tc>
              <w:tc>
                <w:tcPr>
                  <w:tcW w:w="75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b/>
                      <w:color w:val="auto"/>
                      <w:szCs w:val="21"/>
                    </w:rPr>
                  </w:pPr>
                  <w:r>
                    <w:rPr>
                      <w:rFonts w:hint="eastAsia" w:ascii="仿宋" w:hAnsi="仿宋" w:eastAsia="仿宋" w:cs="仿宋"/>
                      <w:b/>
                      <w:color w:val="auto"/>
                      <w:szCs w:val="21"/>
                    </w:rPr>
                    <w:t>BOD</w:t>
                  </w:r>
                  <w:r>
                    <w:rPr>
                      <w:rFonts w:hint="eastAsia" w:ascii="仿宋" w:hAnsi="仿宋" w:eastAsia="仿宋" w:cs="仿宋"/>
                      <w:b/>
                      <w:color w:val="auto"/>
                      <w:szCs w:val="21"/>
                      <w:vertAlign w:val="subscript"/>
                    </w:rPr>
                    <w:t>5</w:t>
                  </w:r>
                </w:p>
              </w:tc>
              <w:tc>
                <w:tcPr>
                  <w:tcW w:w="786"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b/>
                      <w:color w:val="auto"/>
                      <w:szCs w:val="21"/>
                    </w:rPr>
                  </w:pPr>
                  <w:r>
                    <w:rPr>
                      <w:rFonts w:hint="eastAsia" w:ascii="仿宋" w:hAnsi="仿宋" w:eastAsia="仿宋" w:cs="仿宋"/>
                      <w:b/>
                      <w:color w:val="auto"/>
                      <w:szCs w:val="21"/>
                    </w:rPr>
                    <w:t>COD</w:t>
                  </w:r>
                </w:p>
              </w:tc>
              <w:tc>
                <w:tcPr>
                  <w:tcW w:w="913"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b/>
                      <w:color w:val="auto"/>
                      <w:szCs w:val="21"/>
                    </w:rPr>
                  </w:pPr>
                  <w:r>
                    <w:rPr>
                      <w:rFonts w:hint="eastAsia" w:ascii="仿宋" w:hAnsi="仿宋" w:eastAsia="仿宋" w:cs="仿宋"/>
                      <w:b/>
                      <w:color w:val="auto"/>
                      <w:szCs w:val="21"/>
                    </w:rPr>
                    <w:t>动植物油</w:t>
                  </w:r>
                </w:p>
              </w:tc>
              <w:tc>
                <w:tcPr>
                  <w:tcW w:w="737"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b/>
                      <w:color w:val="auto"/>
                      <w:szCs w:val="21"/>
                    </w:rPr>
                  </w:pPr>
                  <w:r>
                    <w:rPr>
                      <w:rFonts w:hint="eastAsia" w:ascii="仿宋" w:hAnsi="仿宋" w:eastAsia="仿宋" w:cs="仿宋"/>
                      <w:b/>
                      <w:color w:val="auto"/>
                      <w:szCs w:val="21"/>
                    </w:rPr>
                    <w:t>氨氮</w:t>
                  </w:r>
                </w:p>
              </w:tc>
              <w:tc>
                <w:tcPr>
                  <w:tcW w:w="72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b/>
                      <w:color w:val="auto"/>
                      <w:szCs w:val="21"/>
                    </w:rPr>
                  </w:pPr>
                  <w:r>
                    <w:rPr>
                      <w:rFonts w:hint="eastAsia" w:ascii="仿宋" w:hAnsi="仿宋" w:eastAsia="仿宋" w:cs="仿宋"/>
                      <w:b/>
                      <w:color w:val="auto"/>
                      <w:szCs w:val="21"/>
                    </w:rPr>
                    <w:t>LAS</w:t>
                  </w:r>
                </w:p>
              </w:tc>
              <w:tc>
                <w:tcPr>
                  <w:tcW w:w="97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color w:val="auto"/>
                      <w:szCs w:val="21"/>
                    </w:rPr>
                  </w:pPr>
                  <w:r>
                    <w:rPr>
                      <w:rFonts w:ascii="Times New Roman" w:hAnsi="Times New Roman" w:eastAsia="仿宋" w:cs="Times New Roman"/>
                      <w:b/>
                      <w:bCs/>
                      <w:color w:val="auto"/>
                      <w:szCs w:val="21"/>
                    </w:rPr>
                    <w:t>总磷（以P计）</w:t>
                  </w:r>
                </w:p>
              </w:tc>
            </w:tr>
            <w:tr>
              <w:tblPrEx>
                <w:tblLayout w:type="fixed"/>
                <w:tblCellMar>
                  <w:top w:w="0" w:type="dxa"/>
                  <w:left w:w="108" w:type="dxa"/>
                  <w:bottom w:w="0" w:type="dxa"/>
                  <w:right w:w="108" w:type="dxa"/>
                </w:tblCellMar>
              </w:tblPrEx>
              <w:trPr>
                <w:trHeight w:val="28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三级</w:t>
                  </w:r>
                </w:p>
                <w:p>
                  <w:pPr>
                    <w:jc w:val="center"/>
                    <w:rPr>
                      <w:rFonts w:ascii="仿宋" w:hAnsi="仿宋" w:eastAsia="仿宋" w:cs="仿宋"/>
                      <w:color w:val="auto"/>
                      <w:szCs w:val="21"/>
                    </w:rPr>
                  </w:pPr>
                  <w:r>
                    <w:rPr>
                      <w:rFonts w:hint="eastAsia" w:ascii="仿宋" w:hAnsi="仿宋" w:eastAsia="仿宋" w:cs="仿宋"/>
                      <w:color w:val="auto"/>
                      <w:szCs w:val="21"/>
                    </w:rPr>
                    <w:t>标准</w:t>
                  </w:r>
                </w:p>
              </w:tc>
              <w:tc>
                <w:tcPr>
                  <w:tcW w:w="118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6.0～9.0</w:t>
                  </w:r>
                </w:p>
              </w:tc>
              <w:tc>
                <w:tcPr>
                  <w:tcW w:w="88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≤400</w:t>
                  </w:r>
                </w:p>
              </w:tc>
              <w:tc>
                <w:tcPr>
                  <w:tcW w:w="75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≤300</w:t>
                  </w:r>
                </w:p>
              </w:tc>
              <w:tc>
                <w:tcPr>
                  <w:tcW w:w="786"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≤500</w:t>
                  </w:r>
                </w:p>
              </w:tc>
              <w:tc>
                <w:tcPr>
                  <w:tcW w:w="913"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≤100</w:t>
                  </w:r>
                </w:p>
              </w:tc>
              <w:tc>
                <w:tcPr>
                  <w:tcW w:w="737"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w:t>
                  </w:r>
                </w:p>
              </w:tc>
              <w:tc>
                <w:tcPr>
                  <w:tcW w:w="72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≤20</w:t>
                  </w:r>
                </w:p>
              </w:tc>
              <w:tc>
                <w:tcPr>
                  <w:tcW w:w="97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w:t>
                  </w:r>
                </w:p>
              </w:tc>
            </w:tr>
            <w:tr>
              <w:tblPrEx>
                <w:tblLayout w:type="fixed"/>
                <w:tblCellMar>
                  <w:top w:w="0" w:type="dxa"/>
                  <w:left w:w="108" w:type="dxa"/>
                  <w:bottom w:w="0" w:type="dxa"/>
                  <w:right w:w="108" w:type="dxa"/>
                </w:tblCellMar>
              </w:tblPrEx>
              <w:trPr>
                <w:trHeight w:val="280"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lang w:val="en-US" w:eastAsia="zh-CN"/>
                    </w:rPr>
                    <w:t>A</w:t>
                  </w:r>
                  <w:r>
                    <w:rPr>
                      <w:rFonts w:hint="eastAsia" w:ascii="仿宋" w:hAnsi="仿宋" w:eastAsia="仿宋" w:cs="仿宋"/>
                      <w:color w:val="auto"/>
                      <w:szCs w:val="21"/>
                    </w:rPr>
                    <w:t>标</w:t>
                  </w:r>
                </w:p>
              </w:tc>
              <w:tc>
                <w:tcPr>
                  <w:tcW w:w="118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w:t>
                  </w:r>
                </w:p>
              </w:tc>
              <w:tc>
                <w:tcPr>
                  <w:tcW w:w="88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w:t>
                  </w:r>
                </w:p>
              </w:tc>
              <w:tc>
                <w:tcPr>
                  <w:tcW w:w="75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w:t>
                  </w:r>
                </w:p>
              </w:tc>
              <w:tc>
                <w:tcPr>
                  <w:tcW w:w="786"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w:t>
                  </w:r>
                </w:p>
              </w:tc>
              <w:tc>
                <w:tcPr>
                  <w:tcW w:w="913"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w:t>
                  </w:r>
                </w:p>
              </w:tc>
              <w:tc>
                <w:tcPr>
                  <w:tcW w:w="737"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45</w:t>
                  </w:r>
                </w:p>
              </w:tc>
              <w:tc>
                <w:tcPr>
                  <w:tcW w:w="72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仿宋"/>
                      <w:color w:val="auto"/>
                      <w:szCs w:val="21"/>
                    </w:rPr>
                  </w:pPr>
                  <w:r>
                    <w:rPr>
                      <w:rFonts w:hint="eastAsia" w:ascii="仿宋" w:hAnsi="仿宋" w:eastAsia="仿宋" w:cs="仿宋"/>
                      <w:color w:val="auto"/>
                      <w:szCs w:val="21"/>
                    </w:rPr>
                    <w:t>-</w:t>
                  </w:r>
                </w:p>
              </w:tc>
              <w:tc>
                <w:tcPr>
                  <w:tcW w:w="97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8</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废气</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施工期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color w:val="auto"/>
                <w:lang w:val="en-US" w:eastAsia="zh-CN"/>
              </w:rPr>
            </w:pPr>
            <w:r>
              <w:rPr>
                <w:rFonts w:hint="default" w:ascii="Times New Roman" w:hAnsi="Times New Roman" w:eastAsia="宋体" w:cs="Times New Roman"/>
                <w:color w:val="auto"/>
                <w:sz w:val="24"/>
                <w:szCs w:val="24"/>
                <w:lang w:val="en-US" w:eastAsia="zh-CN"/>
              </w:rPr>
              <w:t>项目施工期无组织排放的粉尘执行《大气污染物综合排放标准》（GB16297-1996）表2中无组织排放监控浓度限值，标准值见下表；</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表3-</w:t>
            </w:r>
            <w:r>
              <w:rPr>
                <w:rFonts w:hint="eastAsia" w:ascii="Times New Roman" w:hAnsi="Times New Roman" w:eastAsia="宋体" w:cs="Times New Roman"/>
                <w:b/>
                <w:bCs/>
                <w:color w:val="auto"/>
                <w:sz w:val="21"/>
                <w:szCs w:val="21"/>
                <w:lang w:val="en-US" w:eastAsia="zh-CN"/>
              </w:rPr>
              <w:t>8</w:t>
            </w:r>
            <w:r>
              <w:rPr>
                <w:rFonts w:hint="default" w:ascii="Times New Roman" w:hAnsi="Times New Roman" w:eastAsia="宋体" w:cs="Times New Roman"/>
                <w:b/>
                <w:bCs/>
                <w:color w:val="auto"/>
                <w:sz w:val="21"/>
                <w:szCs w:val="21"/>
                <w:lang w:val="en-US" w:eastAsia="zh-CN"/>
              </w:rPr>
              <w:t xml:space="preserve">  大气污染物综合排放标准</w:t>
            </w:r>
          </w:p>
          <w:tbl>
            <w:tblPr>
              <w:tblStyle w:val="7"/>
              <w:tblW w:w="7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8"/>
              <w:gridCol w:w="2618"/>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8" w:type="dxa"/>
                  <w:vMerge w:val="restar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污染物</w:t>
                  </w:r>
                </w:p>
              </w:tc>
              <w:tc>
                <w:tcPr>
                  <w:tcW w:w="5236" w:type="dxa"/>
                  <w:gridSpan w:val="2"/>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8" w:type="dxa"/>
                  <w:vMerge w:val="continue"/>
                  <w:vAlign w:val="center"/>
                </w:tcPr>
                <w:p>
                  <w:pPr>
                    <w:bidi w:val="0"/>
                    <w:jc w:val="center"/>
                    <w:rPr>
                      <w:rFonts w:hint="default" w:ascii="Times New Roman" w:hAnsi="Times New Roman" w:eastAsia="宋体" w:cs="Times New Roman"/>
                      <w:color w:val="auto"/>
                      <w:sz w:val="21"/>
                      <w:szCs w:val="21"/>
                      <w:lang w:val="en-US" w:eastAsia="zh-CN"/>
                    </w:rPr>
                  </w:pPr>
                </w:p>
              </w:tc>
              <w:tc>
                <w:tcPr>
                  <w:tcW w:w="2618"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监控点</w:t>
                  </w:r>
                </w:p>
              </w:tc>
              <w:tc>
                <w:tcPr>
                  <w:tcW w:w="2618"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浓度mg/m³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8"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颗粒物</w:t>
                  </w:r>
                </w:p>
              </w:tc>
              <w:tc>
                <w:tcPr>
                  <w:tcW w:w="2618"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周界外浓度最高点</w:t>
                  </w:r>
                </w:p>
              </w:tc>
              <w:tc>
                <w:tcPr>
                  <w:tcW w:w="2618"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r>
          </w:tbl>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运营期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运营期废气主要为锅炉废气。项目运营期锅炉废气经</w:t>
            </w:r>
            <w:r>
              <w:rPr>
                <w:rFonts w:hint="eastAsia" w:ascii="Times New Roman" w:hAnsi="Times New Roman" w:eastAsia="宋体" w:cs="Times New Roman"/>
                <w:color w:val="auto"/>
                <w:sz w:val="24"/>
                <w:szCs w:val="24"/>
                <w:lang w:val="en-US" w:eastAsia="zh-CN"/>
              </w:rPr>
              <w:t>水膜</w:t>
            </w:r>
            <w:r>
              <w:rPr>
                <w:rFonts w:hint="default" w:ascii="Times New Roman" w:hAnsi="Times New Roman" w:eastAsia="宋体" w:cs="Times New Roman"/>
                <w:color w:val="auto"/>
                <w:sz w:val="24"/>
                <w:szCs w:val="24"/>
                <w:lang w:val="en-US" w:eastAsia="zh-CN"/>
              </w:rPr>
              <w:t>除尘器处理后经</w:t>
            </w:r>
            <w:r>
              <w:rPr>
                <w:rFonts w:hint="eastAsia" w:ascii="Times New Roman" w:hAnsi="Times New Roman" w:eastAsia="宋体" w:cs="Times New Roman"/>
                <w:color w:val="auto"/>
                <w:sz w:val="24"/>
                <w:szCs w:val="24"/>
                <w:lang w:val="en-US" w:eastAsia="zh-CN"/>
              </w:rPr>
              <w:t>1根30</w:t>
            </w:r>
            <w:r>
              <w:rPr>
                <w:rFonts w:hint="default" w:ascii="Times New Roman" w:hAnsi="Times New Roman" w:eastAsia="宋体" w:cs="Times New Roman"/>
                <w:color w:val="auto"/>
                <w:sz w:val="24"/>
                <w:szCs w:val="24"/>
                <w:lang w:val="en-US" w:eastAsia="zh-CN"/>
              </w:rPr>
              <w:t>m高排气筒达标排放，排放标准参照燃煤锅炉执行《锅炉大气污染物排放标准》（GB13271-2014）中表2标准，标准值如下；</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表3-</w:t>
            </w:r>
            <w:r>
              <w:rPr>
                <w:rFonts w:hint="eastAsia" w:ascii="Times New Roman" w:hAnsi="Times New Roman" w:eastAsia="宋体" w:cs="Times New Roman"/>
                <w:b/>
                <w:bCs/>
                <w:color w:val="auto"/>
                <w:sz w:val="21"/>
                <w:szCs w:val="21"/>
                <w:lang w:val="en-US" w:eastAsia="zh-CN"/>
              </w:rPr>
              <w:t>9</w:t>
            </w:r>
            <w:r>
              <w:rPr>
                <w:rFonts w:hint="default" w:ascii="Times New Roman" w:hAnsi="Times New Roman" w:eastAsia="宋体" w:cs="Times New Roman"/>
                <w:b/>
                <w:bCs/>
                <w:color w:val="auto"/>
                <w:sz w:val="21"/>
                <w:szCs w:val="21"/>
                <w:lang w:val="en-US" w:eastAsia="zh-CN"/>
              </w:rPr>
              <w:t xml:space="preserve">  有组织废气排放标准  单位：mg/m³</w:t>
            </w:r>
          </w:p>
          <w:tbl>
            <w:tblPr>
              <w:tblStyle w:val="7"/>
              <w:tblW w:w="7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896"/>
              <w:gridCol w:w="630"/>
              <w:gridCol w:w="648"/>
              <w:gridCol w:w="1531"/>
              <w:gridCol w:w="2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污染物项目</w:t>
                  </w:r>
                </w:p>
              </w:tc>
              <w:tc>
                <w:tcPr>
                  <w:tcW w:w="896"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颗粒物</w:t>
                  </w:r>
                </w:p>
              </w:tc>
              <w:tc>
                <w:tcPr>
                  <w:tcW w:w="630"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SO</w:t>
                  </w:r>
                  <w:r>
                    <w:rPr>
                      <w:rFonts w:hint="default" w:ascii="Times New Roman" w:hAnsi="Times New Roman" w:eastAsia="宋体" w:cs="Times New Roman"/>
                      <w:b/>
                      <w:bCs/>
                      <w:color w:val="auto"/>
                      <w:sz w:val="21"/>
                      <w:szCs w:val="21"/>
                      <w:vertAlign w:val="subscript"/>
                      <w:lang w:val="en-US" w:eastAsia="zh-CN"/>
                    </w:rPr>
                    <w:t>2</w:t>
                  </w:r>
                </w:p>
              </w:tc>
              <w:tc>
                <w:tcPr>
                  <w:tcW w:w="648"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NO</w:t>
                  </w:r>
                  <w:r>
                    <w:rPr>
                      <w:rFonts w:hint="default" w:ascii="Times New Roman" w:hAnsi="Times New Roman" w:eastAsia="宋体" w:cs="Times New Roman"/>
                      <w:b/>
                      <w:bCs/>
                      <w:color w:val="auto"/>
                      <w:sz w:val="21"/>
                      <w:szCs w:val="21"/>
                      <w:vertAlign w:val="subscript"/>
                      <w:lang w:val="en-US" w:eastAsia="zh-CN"/>
                    </w:rPr>
                    <w:t>x</w:t>
                  </w:r>
                </w:p>
              </w:tc>
              <w:tc>
                <w:tcPr>
                  <w:tcW w:w="1531"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汞及其化合物</w:t>
                  </w:r>
                </w:p>
              </w:tc>
              <w:tc>
                <w:tcPr>
                  <w:tcW w:w="2869"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烟气黑度（林格曼黑度，级）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5"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标准值</w:t>
                  </w:r>
                </w:p>
              </w:tc>
              <w:tc>
                <w:tcPr>
                  <w:tcW w:w="896"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50</w:t>
                  </w:r>
                </w:p>
              </w:tc>
              <w:tc>
                <w:tcPr>
                  <w:tcW w:w="630"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300</w:t>
                  </w:r>
                </w:p>
              </w:tc>
              <w:tc>
                <w:tcPr>
                  <w:tcW w:w="648"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300</w:t>
                  </w:r>
                </w:p>
              </w:tc>
              <w:tc>
                <w:tcPr>
                  <w:tcW w:w="1531"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0.05</w:t>
                  </w:r>
                </w:p>
              </w:tc>
              <w:tc>
                <w:tcPr>
                  <w:tcW w:w="2869"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项目设置</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台</w:t>
            </w:r>
            <w:r>
              <w:rPr>
                <w:rFonts w:hint="eastAsia" w:ascii="Times New Roman" w:hAnsi="Times New Roman" w:eastAsia="宋体" w:cs="Times New Roman"/>
                <w:color w:val="auto"/>
                <w:sz w:val="24"/>
                <w:szCs w:val="24"/>
                <w:lang w:val="en-US" w:eastAsia="zh-CN"/>
              </w:rPr>
              <w:t>2.5</w:t>
            </w:r>
            <w:r>
              <w:rPr>
                <w:rFonts w:hint="default" w:ascii="Times New Roman" w:hAnsi="Times New Roman" w:eastAsia="宋体" w:cs="Times New Roman"/>
                <w:color w:val="auto"/>
                <w:sz w:val="24"/>
                <w:szCs w:val="24"/>
                <w:lang w:val="en-US" w:eastAsia="zh-CN"/>
              </w:rPr>
              <w:t>t/h生物质锅炉</w:t>
            </w:r>
            <w:r>
              <w:rPr>
                <w:rFonts w:hint="eastAsia" w:ascii="Times New Roman" w:hAnsi="Times New Roman" w:eastAsia="宋体" w:cs="Times New Roman"/>
                <w:color w:val="auto"/>
                <w:sz w:val="24"/>
                <w:szCs w:val="24"/>
                <w:lang w:val="en-US" w:eastAsia="zh-CN"/>
              </w:rPr>
              <w:t>（一备一用）</w:t>
            </w:r>
            <w:r>
              <w:rPr>
                <w:rFonts w:hint="default" w:ascii="Times New Roman" w:hAnsi="Times New Roman" w:eastAsia="宋体" w:cs="Times New Roman"/>
                <w:color w:val="auto"/>
                <w:sz w:val="24"/>
                <w:szCs w:val="24"/>
                <w:lang w:val="en-US" w:eastAsia="zh-CN"/>
              </w:rPr>
              <w:t>，配置</w:t>
            </w:r>
            <w:r>
              <w:rPr>
                <w:rFonts w:hint="eastAsia" w:ascii="Times New Roman" w:hAnsi="Times New Roman" w:eastAsia="宋体" w:cs="Times New Roman"/>
                <w:color w:val="auto"/>
                <w:sz w:val="24"/>
                <w:szCs w:val="24"/>
                <w:lang w:val="en-US" w:eastAsia="zh-CN"/>
              </w:rPr>
              <w:t>2套水膜</w:t>
            </w:r>
            <w:r>
              <w:rPr>
                <w:rFonts w:hint="default" w:ascii="Times New Roman" w:hAnsi="Times New Roman" w:eastAsia="宋体" w:cs="Times New Roman"/>
                <w:color w:val="auto"/>
                <w:sz w:val="24"/>
                <w:szCs w:val="24"/>
                <w:lang w:val="en-US" w:eastAsia="zh-CN"/>
              </w:rPr>
              <w:t>除尘器，处理后经1</w:t>
            </w:r>
            <w:r>
              <w:rPr>
                <w:rFonts w:hint="eastAsia" w:ascii="Times New Roman" w:hAnsi="Times New Roman" w:eastAsia="宋体" w:cs="Times New Roman"/>
                <w:color w:val="auto"/>
                <w:sz w:val="24"/>
                <w:szCs w:val="24"/>
                <w:lang w:val="en-US" w:eastAsia="zh-CN"/>
              </w:rPr>
              <w:t>根30</w:t>
            </w:r>
            <w:r>
              <w:rPr>
                <w:rFonts w:hint="default" w:ascii="Times New Roman" w:hAnsi="Times New Roman" w:eastAsia="宋体" w:cs="Times New Roman"/>
                <w:color w:val="auto"/>
                <w:sz w:val="24"/>
                <w:szCs w:val="24"/>
                <w:lang w:val="en-US" w:eastAsia="zh-CN"/>
              </w:rPr>
              <w:t>m高排气筒排放，烟囱高度根据锅炉房装机容量确定，本项目燃烧生物质按照燃煤锅炉房烟囱最低允许高度表执行。项目运营期锅炉房烟囱高度为</w:t>
            </w:r>
            <w:r>
              <w:rPr>
                <w:rFonts w:hint="eastAsia" w:ascii="Times New Roman" w:hAnsi="Times New Roman" w:eastAsia="宋体" w:cs="Times New Roman"/>
                <w:color w:val="auto"/>
                <w:sz w:val="24"/>
                <w:szCs w:val="24"/>
                <w:lang w:val="en-US" w:eastAsia="zh-CN"/>
              </w:rPr>
              <w:t>30</w:t>
            </w:r>
            <w:r>
              <w:rPr>
                <w:rFonts w:hint="default" w:ascii="Times New Roman" w:hAnsi="Times New Roman" w:eastAsia="宋体" w:cs="Times New Roman"/>
                <w:color w:val="auto"/>
                <w:sz w:val="24"/>
                <w:szCs w:val="24"/>
                <w:lang w:val="en-US" w:eastAsia="zh-CN"/>
              </w:rPr>
              <w:t>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3</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sz w:val="24"/>
                <w:szCs w:val="24"/>
                <w:lang w:val="en-US" w:eastAsia="zh-CN"/>
              </w:rPr>
              <w:t>噪声</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施工期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项目施工期噪声执行《建筑施工场界环境噪声排放标准》（GB12523-2011），见下表；</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表3-</w:t>
            </w:r>
            <w:r>
              <w:rPr>
                <w:rFonts w:hint="eastAsia" w:ascii="Times New Roman" w:hAnsi="Times New Roman" w:eastAsia="宋体" w:cs="Times New Roman"/>
                <w:b/>
                <w:bCs/>
                <w:color w:val="auto"/>
                <w:sz w:val="21"/>
                <w:szCs w:val="21"/>
                <w:lang w:val="en-US" w:eastAsia="zh-CN"/>
              </w:rPr>
              <w:t>10</w:t>
            </w:r>
            <w:r>
              <w:rPr>
                <w:rFonts w:hint="default" w:ascii="Times New Roman" w:hAnsi="Times New Roman" w:eastAsia="宋体" w:cs="Times New Roman"/>
                <w:b/>
                <w:bCs/>
                <w:color w:val="auto"/>
                <w:sz w:val="21"/>
                <w:szCs w:val="21"/>
                <w:lang w:val="en-US" w:eastAsia="zh-CN"/>
              </w:rPr>
              <w:t xml:space="preserve">  建筑施工噪声排放标准  单位：dB（A）</w:t>
            </w:r>
          </w:p>
          <w:tbl>
            <w:tblPr>
              <w:tblStyle w:val="7"/>
              <w:tblW w:w="7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4"/>
              <w:gridCol w:w="2614"/>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4"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时段</w:t>
                  </w:r>
                </w:p>
              </w:tc>
              <w:tc>
                <w:tcPr>
                  <w:tcW w:w="2614"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昼间</w:t>
                  </w:r>
                </w:p>
              </w:tc>
              <w:tc>
                <w:tcPr>
                  <w:tcW w:w="2614"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14"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标准限值</w:t>
                  </w:r>
                </w:p>
              </w:tc>
              <w:tc>
                <w:tcPr>
                  <w:tcW w:w="2614"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70</w:t>
                  </w:r>
                </w:p>
              </w:tc>
              <w:tc>
                <w:tcPr>
                  <w:tcW w:w="2614"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55</w:t>
                  </w:r>
                </w:p>
              </w:tc>
            </w:tr>
          </w:tbl>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运营期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lang w:val="en-US" w:eastAsia="zh-CN"/>
              </w:rPr>
            </w:pPr>
            <w:r>
              <w:rPr>
                <w:rFonts w:hint="default" w:ascii="Times New Roman" w:hAnsi="Times New Roman" w:eastAsia="宋体" w:cs="Times New Roman"/>
                <w:color w:val="auto"/>
                <w:sz w:val="24"/>
                <w:szCs w:val="24"/>
                <w:lang w:val="en-US" w:eastAsia="zh-CN"/>
              </w:rPr>
              <w:t>运营期噪声执行《工业企业厂界环境噪声排放标准》（GB12348-2008）2类标准，项目</w:t>
            </w:r>
            <w:r>
              <w:rPr>
                <w:rFonts w:hint="eastAsia" w:ascii="Times New Roman" w:hAnsi="Times New Roman" w:eastAsia="宋体" w:cs="Times New Roman"/>
                <w:color w:val="auto"/>
                <w:sz w:val="24"/>
                <w:szCs w:val="24"/>
                <w:lang w:val="en-US" w:eastAsia="zh-CN"/>
              </w:rPr>
              <w:t>东</w:t>
            </w:r>
            <w:r>
              <w:rPr>
                <w:rFonts w:hint="default" w:ascii="Times New Roman" w:hAnsi="Times New Roman" w:eastAsia="宋体" w:cs="Times New Roman"/>
                <w:color w:val="auto"/>
                <w:sz w:val="24"/>
                <w:szCs w:val="24"/>
                <w:lang w:val="en-US" w:eastAsia="zh-CN"/>
              </w:rPr>
              <w:t>侧紧邻</w:t>
            </w:r>
            <w:r>
              <w:rPr>
                <w:rFonts w:hint="eastAsia" w:ascii="Times New Roman" w:hAnsi="Times New Roman" w:eastAsia="宋体" w:cs="Times New Roman"/>
                <w:color w:val="auto"/>
                <w:sz w:val="24"/>
                <w:szCs w:val="24"/>
                <w:lang w:val="en-US" w:eastAsia="zh-CN"/>
              </w:rPr>
              <w:t>大丽高速公路</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大丽高速公路</w:t>
            </w:r>
            <w:r>
              <w:rPr>
                <w:rFonts w:hint="default" w:ascii="Times New Roman" w:hAnsi="Times New Roman" w:eastAsia="宋体" w:cs="Times New Roman"/>
                <w:color w:val="auto"/>
                <w:sz w:val="24"/>
                <w:szCs w:val="24"/>
                <w:lang w:val="en-US" w:eastAsia="zh-CN"/>
              </w:rPr>
              <w:t>边界35±5m区域执行4类标准，具体数值见下表；</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表3-1</w:t>
            </w:r>
            <w:r>
              <w:rPr>
                <w:rFonts w:hint="eastAsia" w:ascii="Times New Roman" w:hAnsi="Times New Roman" w:eastAsia="宋体" w:cs="Times New Roman"/>
                <w:b/>
                <w:bCs/>
                <w:color w:val="auto"/>
                <w:sz w:val="21"/>
                <w:szCs w:val="21"/>
                <w:lang w:val="en-US" w:eastAsia="zh-CN"/>
              </w:rPr>
              <w:t>1</w:t>
            </w:r>
            <w:r>
              <w:rPr>
                <w:rFonts w:hint="default" w:ascii="Times New Roman" w:hAnsi="Times New Roman" w:eastAsia="宋体" w:cs="Times New Roman"/>
                <w:b/>
                <w:bCs/>
                <w:color w:val="auto"/>
                <w:sz w:val="21"/>
                <w:szCs w:val="21"/>
                <w:lang w:val="en-US" w:eastAsia="zh-CN"/>
              </w:rPr>
              <w:t xml:space="preserve">  工业企业厂界环境噪声排放标准 单位：dB（A）</w:t>
            </w:r>
          </w:p>
          <w:tbl>
            <w:tblPr>
              <w:tblStyle w:val="6"/>
              <w:tblW w:w="7847"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997"/>
              <w:gridCol w:w="1959"/>
              <w:gridCol w:w="189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3997" w:type="dxa"/>
                  <w:tcBorders>
                    <w:tl2br w:val="single" w:color="auto" w:sz="2" w:space="0"/>
                  </w:tcBorders>
                  <w:noWrap w:val="0"/>
                  <w:vAlign w:val="center"/>
                </w:tcPr>
                <w:p>
                  <w:pPr>
                    <w:ind w:firstLine="422" w:firstLineChars="20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                       时段</w:t>
                  </w:r>
                </w:p>
                <w:p>
                  <w:pP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厂界外声环境功能区类别</w:t>
                  </w:r>
                </w:p>
              </w:tc>
              <w:tc>
                <w:tcPr>
                  <w:tcW w:w="1959" w:type="dxa"/>
                  <w:noWrap w:val="0"/>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昼间</w:t>
                  </w:r>
                </w:p>
              </w:tc>
              <w:tc>
                <w:tcPr>
                  <w:tcW w:w="1891" w:type="dxa"/>
                  <w:noWrap w:val="0"/>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夜间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57" w:hRule="atLeast"/>
                <w:jc w:val="center"/>
              </w:trPr>
              <w:tc>
                <w:tcPr>
                  <w:tcW w:w="3997" w:type="dxa"/>
                  <w:noWrap w:val="0"/>
                  <w:vAlign w:val="center"/>
                </w:tcPr>
                <w:p>
                  <w:pPr>
                    <w:ind w:firstLine="420" w:firstLineChars="20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类</w:t>
                  </w:r>
                </w:p>
              </w:tc>
              <w:tc>
                <w:tcPr>
                  <w:tcW w:w="195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60</w:t>
                  </w:r>
                </w:p>
              </w:tc>
              <w:tc>
                <w:tcPr>
                  <w:tcW w:w="1891"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57" w:hRule="atLeast"/>
                <w:jc w:val="center"/>
              </w:trPr>
              <w:tc>
                <w:tcPr>
                  <w:tcW w:w="3997" w:type="dxa"/>
                  <w:noWrap w:val="0"/>
                  <w:vAlign w:val="center"/>
                </w:tcPr>
                <w:p>
                  <w:pPr>
                    <w:ind w:firstLine="420" w:firstLineChars="20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4类</w:t>
                  </w:r>
                </w:p>
              </w:tc>
              <w:tc>
                <w:tcPr>
                  <w:tcW w:w="1959"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70</w:t>
                  </w:r>
                </w:p>
              </w:tc>
              <w:tc>
                <w:tcPr>
                  <w:tcW w:w="1891" w:type="dxa"/>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4</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sz w:val="24"/>
                <w:szCs w:val="24"/>
                <w:lang w:val="en-US" w:eastAsia="zh-CN"/>
              </w:rPr>
              <w:t>固体废物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auto"/>
                <w:vertAlign w:val="baseline"/>
                <w:lang w:val="en-US" w:eastAsia="zh-CN"/>
              </w:rPr>
            </w:pPr>
            <w:r>
              <w:rPr>
                <w:rFonts w:hint="default" w:ascii="Times New Roman" w:hAnsi="Times New Roman" w:eastAsia="宋体" w:cs="Times New Roman"/>
                <w:color w:val="auto"/>
                <w:sz w:val="24"/>
                <w:szCs w:val="24"/>
                <w:lang w:val="en-US" w:eastAsia="zh-CN"/>
              </w:rPr>
              <w:t>项目运营期产生的固体废物处置执行《一般工业固体废物贮存和填埋污染控制标准》（GB18599-2020）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tcPr>
          <w:p>
            <w:pPr>
              <w:numPr>
                <w:ilvl w:val="0"/>
                <w:numId w:val="0"/>
              </w:numPr>
              <w:bidi w:val="0"/>
              <w:spacing w:line="360" w:lineRule="auto"/>
              <w:rPr>
                <w:rFonts w:hint="default"/>
                <w:color w:val="auto"/>
                <w:vertAlign w:val="baseline"/>
                <w:lang w:val="en-US" w:eastAsia="zh-CN"/>
              </w:rPr>
            </w:pPr>
            <w:r>
              <w:rPr>
                <w:rFonts w:hint="eastAsia"/>
                <w:color w:val="auto"/>
                <w:sz w:val="24"/>
                <w:szCs w:val="24"/>
                <w:vertAlign w:val="baseline"/>
                <w:lang w:val="en-US" w:eastAsia="zh-CN"/>
              </w:rPr>
              <w:t>总量控制指标</w:t>
            </w:r>
          </w:p>
        </w:tc>
        <w:tc>
          <w:tcPr>
            <w:tcW w:w="806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baseline"/>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根据本项目的排污特征，结合国家污染物排放总量控制原则，列出本项目建议执行的总量控制指标：</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480" w:firstLineChars="200"/>
              <w:textAlignment w:val="baseline"/>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水污染物排放总量控制指标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baseline"/>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本项目运营期生活污水</w:t>
            </w:r>
            <w:r>
              <w:rPr>
                <w:rFonts w:hint="eastAsia" w:ascii="Times New Roman" w:hAnsi="Times New Roman" w:eastAsia="宋体" w:cs="Times New Roman"/>
                <w:color w:val="auto"/>
                <w:sz w:val="24"/>
                <w:szCs w:val="24"/>
                <w:lang w:val="en-US" w:eastAsia="zh-CN"/>
              </w:rPr>
              <w:t>、生产废水经化粪池处理达标后</w:t>
            </w:r>
            <w:r>
              <w:rPr>
                <w:rFonts w:hint="default" w:ascii="Times New Roman" w:hAnsi="Times New Roman" w:eastAsia="宋体" w:cs="Times New Roman"/>
                <w:color w:val="auto"/>
                <w:sz w:val="24"/>
                <w:szCs w:val="24"/>
                <w:lang w:val="en-US" w:eastAsia="zh-CN"/>
              </w:rPr>
              <w:t>，排入</w:t>
            </w:r>
            <w:r>
              <w:rPr>
                <w:rFonts w:hint="eastAsia" w:ascii="Times New Roman" w:hAnsi="Times New Roman" w:eastAsia="宋体" w:cs="Times New Roman"/>
                <w:color w:val="auto"/>
                <w:sz w:val="24"/>
                <w:szCs w:val="24"/>
                <w:lang w:val="en-US" w:eastAsia="zh-CN"/>
              </w:rPr>
              <w:t>市政污水管网</w:t>
            </w:r>
            <w:r>
              <w:rPr>
                <w:rFonts w:hint="default" w:ascii="Times New Roman" w:hAnsi="Times New Roman" w:eastAsia="宋体" w:cs="Times New Roman"/>
                <w:color w:val="auto"/>
                <w:sz w:val="24"/>
                <w:szCs w:val="24"/>
                <w:lang w:val="en-US" w:eastAsia="zh-CN"/>
              </w:rPr>
              <w:t>，最终进入</w:t>
            </w:r>
            <w:r>
              <w:rPr>
                <w:rFonts w:hint="eastAsia" w:ascii="Times New Roman" w:hAnsi="Times New Roman" w:eastAsia="宋体" w:cs="Times New Roman"/>
                <w:color w:val="auto"/>
                <w:sz w:val="24"/>
                <w:szCs w:val="24"/>
                <w:lang w:val="en-US" w:eastAsia="zh-CN"/>
              </w:rPr>
              <w:t>牛街乡</w:t>
            </w:r>
            <w:r>
              <w:rPr>
                <w:rFonts w:hint="default" w:ascii="Times New Roman" w:hAnsi="Times New Roman" w:eastAsia="宋体" w:cs="Times New Roman"/>
                <w:color w:val="auto"/>
                <w:sz w:val="24"/>
                <w:szCs w:val="24"/>
                <w:lang w:val="en-US" w:eastAsia="zh-CN"/>
              </w:rPr>
              <w:t xml:space="preserve">污水处理厂，无需申请总量。 </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0" w:firstLineChars="200"/>
              <w:textAlignment w:val="baseline"/>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大气污染物排放总量控制指标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baseline"/>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本项目运营期废气为颗粒物、SO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lang w:val="en-US" w:eastAsia="zh-CN"/>
              </w:rPr>
              <w:t>、NO</w:t>
            </w:r>
            <w:r>
              <w:rPr>
                <w:rFonts w:hint="default" w:ascii="Times New Roman" w:hAnsi="Times New Roman" w:eastAsia="宋体" w:cs="Times New Roman"/>
                <w:color w:val="auto"/>
                <w:sz w:val="24"/>
                <w:szCs w:val="24"/>
                <w:vertAlign w:val="subscript"/>
                <w:lang w:val="en-US" w:eastAsia="zh-CN"/>
              </w:rPr>
              <w:t>x</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根据国家总量管控，项目涉及</w:t>
            </w:r>
            <w:r>
              <w:rPr>
                <w:rFonts w:hint="default" w:ascii="Times New Roman" w:hAnsi="Times New Roman" w:eastAsia="宋体" w:cs="Times New Roman"/>
                <w:color w:val="auto"/>
                <w:sz w:val="24"/>
                <w:szCs w:val="24"/>
                <w:lang w:val="en-US" w:eastAsia="zh-CN"/>
              </w:rPr>
              <w:t>废气总量控制指标为： NO</w:t>
            </w:r>
            <w:r>
              <w:rPr>
                <w:rFonts w:hint="default" w:ascii="Times New Roman" w:hAnsi="Times New Roman" w:eastAsia="宋体" w:cs="Times New Roman"/>
                <w:color w:val="auto"/>
                <w:sz w:val="24"/>
                <w:szCs w:val="24"/>
                <w:vertAlign w:val="subscript"/>
                <w:lang w:val="en-US" w:eastAsia="zh-CN"/>
              </w:rPr>
              <w:t>x</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1.18</w:t>
            </w:r>
            <w:r>
              <w:rPr>
                <w:rFonts w:hint="default" w:ascii="Times New Roman" w:hAnsi="Times New Roman" w:eastAsia="宋体" w:cs="Times New Roman"/>
                <w:color w:val="auto"/>
                <w:sz w:val="24"/>
                <w:szCs w:val="24"/>
                <w:lang w:val="en-US" w:eastAsia="zh-CN"/>
              </w:rPr>
              <w:t xml:space="preserve">t/a。 </w:t>
            </w:r>
          </w:p>
          <w:p>
            <w:pPr>
              <w:keepNext w:val="0"/>
              <w:keepLines w:val="0"/>
              <w:pageBreakBefore w:val="0"/>
              <w:widowControl w:val="0"/>
              <w:kinsoku/>
              <w:wordWrap/>
              <w:overflowPunct/>
              <w:topLinePunct w:val="0"/>
              <w:autoSpaceDE/>
              <w:autoSpaceDN/>
              <w:bidi w:val="0"/>
              <w:adjustRightInd/>
              <w:snapToGrid/>
              <w:spacing w:line="360" w:lineRule="auto"/>
              <w:ind w:right="420" w:rightChars="200" w:firstLine="480" w:firstLineChars="200"/>
              <w:jc w:val="left"/>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（3）固体废弃物排放总量控制指标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本项目固体废物均进行合理处理处置，固体废弃物处置率100%，故无固体废物总量控制指标。</w:t>
            </w:r>
          </w:p>
          <w:p>
            <w:pPr>
              <w:bidi w:val="0"/>
              <w:rPr>
                <w:rFonts w:hint="default"/>
                <w:color w:val="auto"/>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tc>
      </w:tr>
    </w:tbl>
    <w:p>
      <w:pPr>
        <w:pStyle w:val="3"/>
        <w:bidi w:val="0"/>
        <w:rPr>
          <w:rFonts w:hint="eastAsia"/>
          <w:lang w:val="en-US" w:eastAsia="zh-CN"/>
        </w:rPr>
      </w:pPr>
      <w:r>
        <w:rPr>
          <w:rFonts w:hint="eastAsia"/>
          <w:lang w:val="en-US" w:eastAsia="zh-CN"/>
        </w:rPr>
        <w:t>四、主要环境影响和保护措施</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
        <w:gridCol w:w="8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 w:type="dxa"/>
          </w:tcPr>
          <w:p>
            <w:pPr>
              <w:numPr>
                <w:ilvl w:val="0"/>
                <w:numId w:val="0"/>
              </w:numPr>
              <w:bidi w:val="0"/>
              <w:spacing w:line="360" w:lineRule="auto"/>
              <w:rPr>
                <w:rFonts w:hint="default"/>
                <w:color w:val="auto"/>
                <w:vertAlign w:val="baseline"/>
                <w:lang w:val="en-US" w:eastAsia="zh-CN"/>
              </w:rPr>
            </w:pPr>
            <w:r>
              <w:rPr>
                <w:rFonts w:hint="eastAsia"/>
                <w:color w:val="auto"/>
                <w:sz w:val="24"/>
                <w:szCs w:val="24"/>
                <w:vertAlign w:val="baseline"/>
                <w:lang w:val="en-US" w:eastAsia="zh-CN"/>
              </w:rPr>
              <w:t>施工期环境保护措施</w:t>
            </w:r>
          </w:p>
        </w:tc>
        <w:tc>
          <w:tcPr>
            <w:tcW w:w="815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项目施工过程中会对周围环境产生一定的影响，主要包括施工过程中产生的粉尘、废水、噪声、固废。施工期产生的环境影响随施工期结束而终止。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1、</w:t>
            </w:r>
            <w:r>
              <w:rPr>
                <w:rFonts w:hint="default" w:ascii="Times New Roman" w:hAnsi="Times New Roman" w:eastAsia="宋体" w:cs="Times New Roman"/>
                <w:color w:val="auto"/>
                <w:sz w:val="24"/>
                <w:szCs w:val="24"/>
                <w:lang w:val="en-US" w:eastAsia="zh-CN"/>
              </w:rPr>
              <w:t>废水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施工期进行生产区彩钢瓦厂房的建设、简单装修及设备安装，基本无施工废水产生，施工期废水主要为施工人员生活污水。施工人员均不在厂区内食宿，生活废水产生量较少，生活废水依托周边公共卫生间，对环境影响较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2、</w:t>
            </w:r>
            <w:r>
              <w:rPr>
                <w:rFonts w:hint="default" w:ascii="Times New Roman" w:hAnsi="Times New Roman" w:eastAsia="宋体" w:cs="Times New Roman"/>
                <w:color w:val="auto"/>
                <w:sz w:val="24"/>
                <w:szCs w:val="24"/>
                <w:lang w:val="en-US" w:eastAsia="zh-CN"/>
              </w:rPr>
              <w:t>废气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项目施工活动主要集中在厂房内</w:t>
            </w:r>
            <w:r>
              <w:rPr>
                <w:rFonts w:hint="eastAsia" w:ascii="Times New Roman" w:hAnsi="Times New Roman" w:eastAsia="宋体" w:cs="Times New Roman"/>
                <w:color w:val="auto"/>
                <w:sz w:val="24"/>
                <w:szCs w:val="24"/>
                <w:lang w:val="en-US" w:eastAsia="zh-CN"/>
              </w:rPr>
              <w:t>部</w:t>
            </w:r>
            <w:r>
              <w:rPr>
                <w:rFonts w:hint="default" w:ascii="Times New Roman" w:hAnsi="Times New Roman" w:eastAsia="宋体" w:cs="Times New Roman"/>
                <w:color w:val="auto"/>
                <w:sz w:val="24"/>
                <w:szCs w:val="24"/>
                <w:lang w:val="en-US" w:eastAsia="zh-CN"/>
              </w:rPr>
              <w:t>，采用成品装修材料，仅有彩钢瓦厂房钢材及装修材料切割产生少量废气，施工场地及时进行清扫等措施对施工扬尘进行控制。且在封闭的厂房内进行，废气不会对周围环境产生影响。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3、</w:t>
            </w:r>
            <w:r>
              <w:rPr>
                <w:rFonts w:hint="default" w:ascii="Times New Roman" w:hAnsi="Times New Roman" w:eastAsia="宋体" w:cs="Times New Roman"/>
                <w:color w:val="auto"/>
                <w:sz w:val="24"/>
                <w:szCs w:val="24"/>
                <w:lang w:val="en-US" w:eastAsia="zh-CN"/>
              </w:rPr>
              <w:t>固废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施工期产生的固废主要为建筑废料、设备包装废料及生活垃圾。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建筑废料：经分类后，能回收利用的部分回收利用，不能利用部分清运至指定的地点堆场。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设备包装废料：经分类后，能回收利用的部分回收利用，不能利用部分统一收集后，交由当地环卫部门清运处理。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生活垃圾：生活垃圾统一收集于生活垃圾桶，交由当地环卫部门清运处理。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4、</w:t>
            </w:r>
            <w:r>
              <w:rPr>
                <w:rFonts w:hint="default" w:ascii="Times New Roman" w:hAnsi="Times New Roman" w:eastAsia="宋体" w:cs="Times New Roman"/>
                <w:color w:val="auto"/>
                <w:sz w:val="24"/>
                <w:szCs w:val="24"/>
                <w:lang w:val="en-US" w:eastAsia="zh-CN"/>
              </w:rPr>
              <w:t>噪声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olor w:val="auto"/>
                <w:lang w:val="en-US" w:eastAsia="zh-CN"/>
              </w:rPr>
            </w:pPr>
            <w:r>
              <w:rPr>
                <w:rFonts w:hint="default" w:ascii="Times New Roman" w:hAnsi="Times New Roman" w:eastAsia="宋体" w:cs="Times New Roman"/>
                <w:color w:val="auto"/>
                <w:sz w:val="24"/>
                <w:szCs w:val="24"/>
                <w:lang w:val="en-US" w:eastAsia="zh-CN"/>
              </w:rPr>
              <w:t>项目施工期使用的设备主要有电钻、手工钻、无齿锯、运输车辆等，源强80-90dB（A）。这些设备在施工时将对施工区域附近的声环境造成一定影响。施工在白天进行，夜间不施工，合理布局施工现场，物料进场仅在白天进行，选用低噪声设备进行施工，安装过程中采取基础减震，设备隔声等综合降噪措施</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项目施工期较短，噪声影响随着施工期的结束而结束，对环境的影响可接受。</w:t>
            </w:r>
            <w:r>
              <w:rPr>
                <w:rFonts w:hint="eastAsia" w:ascii="Times New Roman" w:hAnsi="Times New Roman" w:eastAsia="宋体" w:cs="Times New Roman"/>
                <w:color w:val="auto"/>
                <w:sz w:val="24"/>
                <w:szCs w:val="24"/>
                <w:lang w:val="en-US" w:eastAsia="zh-CN"/>
              </w:rPr>
              <w:t>项目目前施工期已结束，经走访相关部门，施工期无扰民相关投诉事件。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9" w:type="dxa"/>
          </w:tcPr>
          <w:p>
            <w:pPr>
              <w:numPr>
                <w:ilvl w:val="0"/>
                <w:numId w:val="0"/>
              </w:numPr>
              <w:bidi w:val="0"/>
              <w:spacing w:line="360" w:lineRule="auto"/>
              <w:rPr>
                <w:rFonts w:hint="default"/>
                <w:color w:val="auto"/>
                <w:vertAlign w:val="baseline"/>
                <w:lang w:val="en-US" w:eastAsia="zh-CN"/>
              </w:rPr>
            </w:pPr>
            <w:r>
              <w:rPr>
                <w:rFonts w:hint="eastAsia"/>
                <w:color w:val="auto"/>
                <w:sz w:val="24"/>
                <w:szCs w:val="24"/>
                <w:vertAlign w:val="baseline"/>
                <w:lang w:val="en-US" w:eastAsia="zh-CN"/>
              </w:rPr>
              <w:t>运营期环境影响和保护措施</w:t>
            </w:r>
          </w:p>
        </w:tc>
        <w:tc>
          <w:tcPr>
            <w:tcW w:w="8153" w:type="dxa"/>
          </w:tcPr>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废气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1、</w:t>
            </w:r>
            <w:r>
              <w:rPr>
                <w:rFonts w:hint="default" w:ascii="Times New Roman" w:hAnsi="Times New Roman" w:eastAsia="宋体" w:cs="Times New Roman"/>
                <w:color w:val="auto"/>
                <w:sz w:val="24"/>
                <w:szCs w:val="24"/>
                <w:lang w:val="en-US" w:eastAsia="zh-CN"/>
              </w:rPr>
              <w:t>废气源强</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锅炉废气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项目生产过程中使用生物质燃料锅炉，燃料废气主要为烟尘、二氧化硫和氮氧化物。为减少锅炉废气对环境的污染，项目生物质锅炉产生的废气经</w:t>
            </w:r>
            <w:r>
              <w:rPr>
                <w:rFonts w:hint="eastAsia" w:ascii="Times New Roman" w:hAnsi="Times New Roman" w:eastAsia="宋体" w:cs="Times New Roman"/>
                <w:color w:val="auto"/>
                <w:sz w:val="24"/>
                <w:szCs w:val="24"/>
                <w:lang w:val="en-US" w:eastAsia="zh-CN"/>
              </w:rPr>
              <w:t>水膜</w:t>
            </w:r>
            <w:r>
              <w:rPr>
                <w:rFonts w:hint="default" w:ascii="Times New Roman" w:hAnsi="Times New Roman" w:eastAsia="宋体" w:cs="Times New Roman"/>
                <w:color w:val="auto"/>
                <w:sz w:val="24"/>
                <w:szCs w:val="24"/>
                <w:lang w:val="en-US" w:eastAsia="zh-CN"/>
              </w:rPr>
              <w:t>除尘器处理后，经烟囱统一排放。锅炉废气排放执行《锅炉大气污染物排放标准》（GB13271-2014）中表2标准，生物质锅炉排气筒排放高度为</w:t>
            </w:r>
            <w:r>
              <w:rPr>
                <w:rFonts w:hint="eastAsia" w:ascii="Times New Roman" w:hAnsi="Times New Roman" w:eastAsia="宋体" w:cs="Times New Roman"/>
                <w:color w:val="auto"/>
                <w:sz w:val="24"/>
                <w:szCs w:val="24"/>
                <w:lang w:val="en-US" w:eastAsia="zh-CN"/>
              </w:rPr>
              <w:t>30</w:t>
            </w:r>
            <w:r>
              <w:rPr>
                <w:rFonts w:hint="default" w:ascii="Times New Roman" w:hAnsi="Times New Roman" w:eastAsia="宋体" w:cs="Times New Roman"/>
                <w:color w:val="auto"/>
                <w:sz w:val="24"/>
                <w:szCs w:val="24"/>
                <w:lang w:val="en-US" w:eastAsia="zh-CN"/>
              </w:rPr>
              <w:t>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本项目设置</w:t>
            </w:r>
            <w:r>
              <w:rPr>
                <w:rFonts w:hint="eastAsia" w:ascii="Times New Roman" w:hAnsi="Times New Roman" w:eastAsia="宋体" w:cs="Times New Roman"/>
                <w:color w:val="auto"/>
                <w:sz w:val="24"/>
                <w:szCs w:val="24"/>
                <w:lang w:val="en-US" w:eastAsia="zh-CN"/>
              </w:rPr>
              <w:t>2台</w:t>
            </w:r>
            <w:r>
              <w:rPr>
                <w:rFonts w:hint="default" w:ascii="Times New Roman" w:hAnsi="Times New Roman" w:eastAsia="宋体" w:cs="Times New Roman"/>
                <w:color w:val="auto"/>
                <w:sz w:val="24"/>
                <w:szCs w:val="24"/>
                <w:lang w:val="en-US" w:eastAsia="zh-CN"/>
              </w:rPr>
              <w:t>生物质燃料锅炉</w:t>
            </w:r>
            <w:r>
              <w:rPr>
                <w:rFonts w:hint="eastAsia" w:ascii="Times New Roman" w:hAnsi="Times New Roman" w:eastAsia="宋体" w:cs="Times New Roman"/>
                <w:color w:val="auto"/>
                <w:sz w:val="24"/>
                <w:szCs w:val="24"/>
                <w:lang w:val="en-US" w:eastAsia="zh-CN"/>
              </w:rPr>
              <w:t>（一备一用）</w:t>
            </w:r>
            <w:r>
              <w:rPr>
                <w:rFonts w:hint="default" w:ascii="Times New Roman" w:hAnsi="Times New Roman" w:eastAsia="宋体" w:cs="Times New Roman"/>
                <w:color w:val="auto"/>
                <w:sz w:val="24"/>
                <w:szCs w:val="24"/>
                <w:lang w:val="en-US" w:eastAsia="zh-CN"/>
              </w:rPr>
              <w:t>，提供热蒸汽，额定蒸发量为</w:t>
            </w:r>
            <w:r>
              <w:rPr>
                <w:rFonts w:hint="eastAsia" w:ascii="Times New Roman" w:hAnsi="Times New Roman" w:eastAsia="宋体" w:cs="Times New Roman"/>
                <w:color w:val="auto"/>
                <w:sz w:val="24"/>
                <w:szCs w:val="24"/>
                <w:lang w:val="en-US" w:eastAsia="zh-CN"/>
              </w:rPr>
              <w:t>2.5</w:t>
            </w:r>
            <w:r>
              <w:rPr>
                <w:rFonts w:hint="default" w:ascii="Times New Roman" w:hAnsi="Times New Roman" w:eastAsia="宋体" w:cs="Times New Roman"/>
                <w:color w:val="auto"/>
                <w:sz w:val="24"/>
                <w:szCs w:val="24"/>
                <w:lang w:val="en-US" w:eastAsia="zh-CN"/>
              </w:rPr>
              <w:t>t/h，每天工作</w:t>
            </w:r>
            <w:r>
              <w:rPr>
                <w:rFonts w:hint="eastAsia"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val="en-US" w:eastAsia="zh-CN"/>
              </w:rPr>
              <w:t>小时，生产时间</w:t>
            </w:r>
            <w:r>
              <w:rPr>
                <w:rFonts w:hint="eastAsia" w:ascii="Times New Roman" w:hAnsi="Times New Roman" w:eastAsia="宋体" w:cs="Times New Roman"/>
                <w:color w:val="auto"/>
                <w:sz w:val="24"/>
                <w:szCs w:val="24"/>
                <w:lang w:val="en-US" w:eastAsia="zh-CN"/>
              </w:rPr>
              <w:t>360</w:t>
            </w:r>
            <w:r>
              <w:rPr>
                <w:rFonts w:hint="default" w:ascii="Times New Roman" w:hAnsi="Times New Roman" w:eastAsia="宋体" w:cs="Times New Roman"/>
                <w:color w:val="auto"/>
                <w:sz w:val="24"/>
                <w:szCs w:val="24"/>
                <w:lang w:val="en-US" w:eastAsia="zh-CN"/>
              </w:rPr>
              <w:t>天。根据生物质蒸汽发生器技术参数燃料消耗量为160kg/h，</w:t>
            </w:r>
            <w:r>
              <w:rPr>
                <w:rFonts w:hint="eastAsia" w:ascii="Times New Roman" w:hAnsi="Times New Roman" w:eastAsia="宋体" w:cs="Times New Roman"/>
                <w:color w:val="auto"/>
                <w:sz w:val="24"/>
                <w:szCs w:val="24"/>
                <w:lang w:val="en-US" w:eastAsia="zh-CN"/>
              </w:rPr>
              <w:t>则2.5t/h锅炉燃料消耗量为3.2t/d，1152t/a</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根据《排放源统计调查产排污核算方法和系数手册 》（2021年版）4430工业锅炉（热力生产和供应行业）产污系数表进行核算；</w:t>
            </w:r>
          </w:p>
          <w:p>
            <w:pPr>
              <w:bidi w:val="0"/>
              <w:jc w:val="center"/>
              <w:rPr>
                <w:rFonts w:hint="eastAsia"/>
                <w:b/>
                <w:bCs/>
                <w:color w:val="auto"/>
                <w:lang w:val="en-US" w:eastAsia="zh-CN"/>
              </w:rPr>
            </w:pPr>
            <w:r>
              <w:rPr>
                <w:rFonts w:hint="eastAsia"/>
                <w:b/>
                <w:bCs/>
                <w:color w:val="auto"/>
                <w:lang w:val="en-US" w:eastAsia="zh-CN"/>
              </w:rPr>
              <w:t>表4-1  产污系数表</w:t>
            </w:r>
          </w:p>
          <w:tbl>
            <w:tblPr>
              <w:tblStyle w:val="7"/>
              <w:tblW w:w="7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27"/>
              <w:gridCol w:w="726"/>
              <w:gridCol w:w="696"/>
              <w:gridCol w:w="957"/>
              <w:gridCol w:w="1410"/>
              <w:gridCol w:w="724"/>
              <w:gridCol w:w="1125"/>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产品名称</w:t>
                  </w:r>
                </w:p>
              </w:tc>
              <w:tc>
                <w:tcPr>
                  <w:tcW w:w="727" w:type="dxa"/>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原料名称</w:t>
                  </w:r>
                </w:p>
              </w:tc>
              <w:tc>
                <w:tcPr>
                  <w:tcW w:w="726" w:type="dxa"/>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工艺名称</w:t>
                  </w:r>
                </w:p>
              </w:tc>
              <w:tc>
                <w:tcPr>
                  <w:tcW w:w="696" w:type="dxa"/>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规模等级</w:t>
                  </w:r>
                </w:p>
              </w:tc>
              <w:tc>
                <w:tcPr>
                  <w:tcW w:w="957" w:type="dxa"/>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污染物指标</w:t>
                  </w:r>
                </w:p>
              </w:tc>
              <w:tc>
                <w:tcPr>
                  <w:tcW w:w="1410" w:type="dxa"/>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单位</w:t>
                  </w:r>
                </w:p>
              </w:tc>
              <w:tc>
                <w:tcPr>
                  <w:tcW w:w="724" w:type="dxa"/>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产污系数</w:t>
                  </w:r>
                </w:p>
              </w:tc>
              <w:tc>
                <w:tcPr>
                  <w:tcW w:w="1125" w:type="dxa"/>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末端治理技术名称</w:t>
                  </w:r>
                </w:p>
              </w:tc>
              <w:tc>
                <w:tcPr>
                  <w:tcW w:w="887" w:type="dxa"/>
                  <w:vAlign w:val="center"/>
                </w:tcPr>
                <w:p>
                  <w:pPr>
                    <w:bidi w:val="0"/>
                    <w:jc w:val="center"/>
                    <w:rPr>
                      <w:rFonts w:hint="default"/>
                      <w:b/>
                      <w:bCs/>
                      <w:color w:val="auto"/>
                      <w:vertAlign w:val="baseline"/>
                      <w:lang w:val="en-US" w:eastAsia="zh-CN"/>
                    </w:rPr>
                  </w:pPr>
                  <w:r>
                    <w:rPr>
                      <w:rFonts w:hint="eastAsia"/>
                      <w:b/>
                      <w:bCs/>
                      <w:color w:val="auto"/>
                      <w:vertAlign w:val="baseline"/>
                      <w:lang w:val="en-US" w:eastAsia="zh-CN"/>
                    </w:rPr>
                    <w:t>去除效率（%）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vMerge w:val="restart"/>
                  <w:vAlign w:val="center"/>
                </w:tcPr>
                <w:p>
                  <w:pPr>
                    <w:bidi w:val="0"/>
                    <w:jc w:val="center"/>
                    <w:rPr>
                      <w:rFonts w:hint="default"/>
                      <w:color w:val="auto"/>
                      <w:vertAlign w:val="baseline"/>
                      <w:lang w:val="en-US" w:eastAsia="zh-CN"/>
                    </w:rPr>
                  </w:pPr>
                  <w:r>
                    <w:rPr>
                      <w:rFonts w:hint="eastAsia"/>
                      <w:color w:val="auto"/>
                      <w:vertAlign w:val="baseline"/>
                      <w:lang w:val="en-US" w:eastAsia="zh-CN"/>
                    </w:rPr>
                    <w:t>蒸汽/热水/其他</w:t>
                  </w:r>
                </w:p>
              </w:tc>
              <w:tc>
                <w:tcPr>
                  <w:tcW w:w="727" w:type="dxa"/>
                  <w:vMerge w:val="restart"/>
                  <w:vAlign w:val="center"/>
                </w:tcPr>
                <w:p>
                  <w:pPr>
                    <w:bidi w:val="0"/>
                    <w:jc w:val="center"/>
                    <w:rPr>
                      <w:rFonts w:hint="default"/>
                      <w:color w:val="auto"/>
                      <w:vertAlign w:val="baseline"/>
                      <w:lang w:val="en-US" w:eastAsia="zh-CN"/>
                    </w:rPr>
                  </w:pPr>
                  <w:r>
                    <w:rPr>
                      <w:rFonts w:hint="eastAsia"/>
                      <w:color w:val="auto"/>
                      <w:vertAlign w:val="baseline"/>
                      <w:lang w:val="en-US" w:eastAsia="zh-CN"/>
                    </w:rPr>
                    <w:t>生物质燃料</w:t>
                  </w:r>
                </w:p>
              </w:tc>
              <w:tc>
                <w:tcPr>
                  <w:tcW w:w="726" w:type="dxa"/>
                  <w:vMerge w:val="restart"/>
                  <w:vAlign w:val="center"/>
                </w:tcPr>
                <w:p>
                  <w:pPr>
                    <w:bidi w:val="0"/>
                    <w:jc w:val="center"/>
                    <w:rPr>
                      <w:rFonts w:hint="default"/>
                      <w:color w:val="auto"/>
                      <w:vertAlign w:val="baseline"/>
                      <w:lang w:val="en-US" w:eastAsia="zh-CN"/>
                    </w:rPr>
                  </w:pPr>
                  <w:r>
                    <w:rPr>
                      <w:rFonts w:hint="eastAsia"/>
                      <w:color w:val="auto"/>
                      <w:vertAlign w:val="baseline"/>
                      <w:lang w:val="en-US" w:eastAsia="zh-CN"/>
                    </w:rPr>
                    <w:t>层燃炉</w:t>
                  </w:r>
                </w:p>
              </w:tc>
              <w:tc>
                <w:tcPr>
                  <w:tcW w:w="696" w:type="dxa"/>
                  <w:vMerge w:val="restart"/>
                  <w:vAlign w:val="center"/>
                </w:tcPr>
                <w:p>
                  <w:pPr>
                    <w:bidi w:val="0"/>
                    <w:jc w:val="center"/>
                    <w:rPr>
                      <w:rFonts w:hint="default"/>
                      <w:color w:val="auto"/>
                      <w:vertAlign w:val="baseline"/>
                      <w:lang w:val="en-US" w:eastAsia="zh-CN"/>
                    </w:rPr>
                  </w:pPr>
                  <w:r>
                    <w:rPr>
                      <w:rFonts w:hint="eastAsia"/>
                      <w:color w:val="auto"/>
                      <w:vertAlign w:val="baseline"/>
                      <w:lang w:val="en-US" w:eastAsia="zh-CN"/>
                    </w:rPr>
                    <w:t>所有规模</w:t>
                  </w:r>
                </w:p>
              </w:tc>
              <w:tc>
                <w:tcPr>
                  <w:tcW w:w="95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工业废气量</w:t>
                  </w:r>
                </w:p>
              </w:tc>
              <w:tc>
                <w:tcPr>
                  <w:tcW w:w="1410"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标立方米/吨-原料</w:t>
                  </w:r>
                </w:p>
              </w:tc>
              <w:tc>
                <w:tcPr>
                  <w:tcW w:w="724"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6240</w:t>
                  </w:r>
                </w:p>
              </w:tc>
              <w:tc>
                <w:tcPr>
                  <w:tcW w:w="1125"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w:t>
                  </w:r>
                </w:p>
              </w:tc>
              <w:tc>
                <w:tcPr>
                  <w:tcW w:w="88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vMerge w:val="continue"/>
                  <w:vAlign w:val="center"/>
                </w:tcPr>
                <w:p>
                  <w:pPr>
                    <w:bidi w:val="0"/>
                    <w:jc w:val="center"/>
                    <w:rPr>
                      <w:rFonts w:hint="default"/>
                      <w:color w:val="auto"/>
                      <w:vertAlign w:val="baseline"/>
                      <w:lang w:val="en-US" w:eastAsia="zh-CN"/>
                    </w:rPr>
                  </w:pPr>
                </w:p>
              </w:tc>
              <w:tc>
                <w:tcPr>
                  <w:tcW w:w="727" w:type="dxa"/>
                  <w:vMerge w:val="continue"/>
                  <w:vAlign w:val="center"/>
                </w:tcPr>
                <w:p>
                  <w:pPr>
                    <w:bidi w:val="0"/>
                    <w:jc w:val="center"/>
                    <w:rPr>
                      <w:rFonts w:hint="default"/>
                      <w:color w:val="auto"/>
                      <w:vertAlign w:val="baseline"/>
                      <w:lang w:val="en-US" w:eastAsia="zh-CN"/>
                    </w:rPr>
                  </w:pPr>
                </w:p>
              </w:tc>
              <w:tc>
                <w:tcPr>
                  <w:tcW w:w="726" w:type="dxa"/>
                  <w:vMerge w:val="continue"/>
                  <w:vAlign w:val="center"/>
                </w:tcPr>
                <w:p>
                  <w:pPr>
                    <w:bidi w:val="0"/>
                    <w:jc w:val="center"/>
                    <w:rPr>
                      <w:rFonts w:hint="default"/>
                      <w:color w:val="auto"/>
                      <w:vertAlign w:val="baseline"/>
                      <w:lang w:val="en-US" w:eastAsia="zh-CN"/>
                    </w:rPr>
                  </w:pPr>
                </w:p>
              </w:tc>
              <w:tc>
                <w:tcPr>
                  <w:tcW w:w="696" w:type="dxa"/>
                  <w:vMerge w:val="continue"/>
                  <w:vAlign w:val="center"/>
                </w:tcPr>
                <w:p>
                  <w:pPr>
                    <w:bidi w:val="0"/>
                    <w:jc w:val="center"/>
                    <w:rPr>
                      <w:rFonts w:hint="default"/>
                      <w:color w:val="auto"/>
                      <w:vertAlign w:val="baseline"/>
                      <w:lang w:val="en-US" w:eastAsia="zh-CN"/>
                    </w:rPr>
                  </w:pPr>
                </w:p>
              </w:tc>
              <w:tc>
                <w:tcPr>
                  <w:tcW w:w="95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二氧化硫</w:t>
                  </w:r>
                </w:p>
              </w:tc>
              <w:tc>
                <w:tcPr>
                  <w:tcW w:w="1410"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千克/吨-原料</w:t>
                  </w:r>
                </w:p>
              </w:tc>
              <w:tc>
                <w:tcPr>
                  <w:tcW w:w="724"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17S</w:t>
                  </w:r>
                </w:p>
              </w:tc>
              <w:tc>
                <w:tcPr>
                  <w:tcW w:w="1125"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w:t>
                  </w:r>
                </w:p>
              </w:tc>
              <w:tc>
                <w:tcPr>
                  <w:tcW w:w="88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vMerge w:val="continue"/>
                  <w:vAlign w:val="center"/>
                </w:tcPr>
                <w:p>
                  <w:pPr>
                    <w:bidi w:val="0"/>
                    <w:jc w:val="center"/>
                    <w:rPr>
                      <w:rFonts w:hint="default"/>
                      <w:color w:val="auto"/>
                      <w:vertAlign w:val="baseline"/>
                      <w:lang w:val="en-US" w:eastAsia="zh-CN"/>
                    </w:rPr>
                  </w:pPr>
                </w:p>
              </w:tc>
              <w:tc>
                <w:tcPr>
                  <w:tcW w:w="727" w:type="dxa"/>
                  <w:vMerge w:val="continue"/>
                  <w:vAlign w:val="center"/>
                </w:tcPr>
                <w:p>
                  <w:pPr>
                    <w:bidi w:val="0"/>
                    <w:jc w:val="center"/>
                    <w:rPr>
                      <w:rFonts w:hint="default"/>
                      <w:color w:val="auto"/>
                      <w:vertAlign w:val="baseline"/>
                      <w:lang w:val="en-US" w:eastAsia="zh-CN"/>
                    </w:rPr>
                  </w:pPr>
                </w:p>
              </w:tc>
              <w:tc>
                <w:tcPr>
                  <w:tcW w:w="726" w:type="dxa"/>
                  <w:vMerge w:val="continue"/>
                  <w:vAlign w:val="center"/>
                </w:tcPr>
                <w:p>
                  <w:pPr>
                    <w:bidi w:val="0"/>
                    <w:jc w:val="center"/>
                    <w:rPr>
                      <w:rFonts w:hint="default"/>
                      <w:color w:val="auto"/>
                      <w:vertAlign w:val="baseline"/>
                      <w:lang w:val="en-US" w:eastAsia="zh-CN"/>
                    </w:rPr>
                  </w:pPr>
                </w:p>
              </w:tc>
              <w:tc>
                <w:tcPr>
                  <w:tcW w:w="696" w:type="dxa"/>
                  <w:vMerge w:val="continue"/>
                  <w:vAlign w:val="center"/>
                </w:tcPr>
                <w:p>
                  <w:pPr>
                    <w:bidi w:val="0"/>
                    <w:jc w:val="center"/>
                    <w:rPr>
                      <w:rFonts w:hint="default"/>
                      <w:color w:val="auto"/>
                      <w:vertAlign w:val="baseline"/>
                      <w:lang w:val="en-US" w:eastAsia="zh-CN"/>
                    </w:rPr>
                  </w:pPr>
                </w:p>
              </w:tc>
              <w:tc>
                <w:tcPr>
                  <w:tcW w:w="957" w:type="dxa"/>
                  <w:vAlign w:val="center"/>
                </w:tcPr>
                <w:p>
                  <w:pPr>
                    <w:bidi w:val="0"/>
                    <w:jc w:val="center"/>
                    <w:rPr>
                      <w:rFonts w:hint="eastAsia"/>
                      <w:color w:val="auto"/>
                      <w:vertAlign w:val="baseline"/>
                      <w:lang w:val="en-US" w:eastAsia="zh-CN"/>
                    </w:rPr>
                  </w:pPr>
                  <w:r>
                    <w:rPr>
                      <w:rFonts w:hint="eastAsia"/>
                      <w:color w:val="auto"/>
                      <w:vertAlign w:val="baseline"/>
                      <w:lang w:val="en-US" w:eastAsia="zh-CN"/>
                    </w:rPr>
                    <w:t>颗粒物</w:t>
                  </w:r>
                </w:p>
              </w:tc>
              <w:tc>
                <w:tcPr>
                  <w:tcW w:w="1410"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千克/吨-原料</w:t>
                  </w:r>
                </w:p>
              </w:tc>
              <w:tc>
                <w:tcPr>
                  <w:tcW w:w="724"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0.5</w:t>
                  </w:r>
                </w:p>
              </w:tc>
              <w:tc>
                <w:tcPr>
                  <w:tcW w:w="1125" w:type="dxa"/>
                  <w:vAlign w:val="center"/>
                </w:tcPr>
                <w:p>
                  <w:pPr>
                    <w:bidi w:val="0"/>
                    <w:jc w:val="center"/>
                    <w:rPr>
                      <w:rFonts w:hint="eastAsia"/>
                      <w:color w:val="auto"/>
                      <w:vertAlign w:val="baseline"/>
                      <w:lang w:val="en-US" w:eastAsia="zh-CN"/>
                    </w:rPr>
                  </w:pPr>
                  <w:r>
                    <w:rPr>
                      <w:rFonts w:hint="eastAsia"/>
                      <w:color w:val="auto"/>
                      <w:vertAlign w:val="baseline"/>
                      <w:lang w:val="en-US" w:eastAsia="zh-CN"/>
                    </w:rPr>
                    <w:t>离心水膜</w:t>
                  </w:r>
                </w:p>
              </w:tc>
              <w:tc>
                <w:tcPr>
                  <w:tcW w:w="88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vMerge w:val="continue"/>
                  <w:vAlign w:val="center"/>
                </w:tcPr>
                <w:p>
                  <w:pPr>
                    <w:bidi w:val="0"/>
                    <w:jc w:val="center"/>
                    <w:rPr>
                      <w:rFonts w:hint="default"/>
                      <w:color w:val="auto"/>
                      <w:vertAlign w:val="baseline"/>
                      <w:lang w:val="en-US" w:eastAsia="zh-CN"/>
                    </w:rPr>
                  </w:pPr>
                </w:p>
              </w:tc>
              <w:tc>
                <w:tcPr>
                  <w:tcW w:w="727" w:type="dxa"/>
                  <w:vMerge w:val="continue"/>
                  <w:vAlign w:val="center"/>
                </w:tcPr>
                <w:p>
                  <w:pPr>
                    <w:bidi w:val="0"/>
                    <w:jc w:val="center"/>
                    <w:rPr>
                      <w:rFonts w:hint="default"/>
                      <w:color w:val="auto"/>
                      <w:vertAlign w:val="baseline"/>
                      <w:lang w:val="en-US" w:eastAsia="zh-CN"/>
                    </w:rPr>
                  </w:pPr>
                </w:p>
              </w:tc>
              <w:tc>
                <w:tcPr>
                  <w:tcW w:w="726" w:type="dxa"/>
                  <w:vMerge w:val="continue"/>
                  <w:vAlign w:val="center"/>
                </w:tcPr>
                <w:p>
                  <w:pPr>
                    <w:bidi w:val="0"/>
                    <w:jc w:val="center"/>
                    <w:rPr>
                      <w:rFonts w:hint="default"/>
                      <w:color w:val="auto"/>
                      <w:vertAlign w:val="baseline"/>
                      <w:lang w:val="en-US" w:eastAsia="zh-CN"/>
                    </w:rPr>
                  </w:pPr>
                </w:p>
              </w:tc>
              <w:tc>
                <w:tcPr>
                  <w:tcW w:w="696" w:type="dxa"/>
                  <w:vMerge w:val="continue"/>
                  <w:vAlign w:val="center"/>
                </w:tcPr>
                <w:p>
                  <w:pPr>
                    <w:bidi w:val="0"/>
                    <w:jc w:val="center"/>
                    <w:rPr>
                      <w:rFonts w:hint="default"/>
                      <w:color w:val="auto"/>
                      <w:vertAlign w:val="baseline"/>
                      <w:lang w:val="en-US" w:eastAsia="zh-CN"/>
                    </w:rPr>
                  </w:pPr>
                </w:p>
              </w:tc>
              <w:tc>
                <w:tcPr>
                  <w:tcW w:w="957" w:type="dxa"/>
                  <w:vAlign w:val="center"/>
                </w:tcPr>
                <w:p>
                  <w:pPr>
                    <w:bidi w:val="0"/>
                    <w:jc w:val="center"/>
                    <w:rPr>
                      <w:rFonts w:hint="eastAsia"/>
                      <w:color w:val="auto"/>
                      <w:vertAlign w:val="baseline"/>
                      <w:lang w:val="en-US" w:eastAsia="zh-CN"/>
                    </w:rPr>
                  </w:pPr>
                  <w:r>
                    <w:rPr>
                      <w:rFonts w:hint="eastAsia"/>
                      <w:color w:val="auto"/>
                      <w:vertAlign w:val="baseline"/>
                      <w:lang w:val="en-US" w:eastAsia="zh-CN"/>
                    </w:rPr>
                    <w:t>氮氧化物</w:t>
                  </w:r>
                </w:p>
              </w:tc>
              <w:tc>
                <w:tcPr>
                  <w:tcW w:w="1410"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千克/吨-原料</w:t>
                  </w:r>
                </w:p>
              </w:tc>
              <w:tc>
                <w:tcPr>
                  <w:tcW w:w="724"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1.02</w:t>
                  </w:r>
                </w:p>
              </w:tc>
              <w:tc>
                <w:tcPr>
                  <w:tcW w:w="1125"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w:t>
                  </w:r>
                </w:p>
              </w:tc>
              <w:tc>
                <w:tcPr>
                  <w:tcW w:w="887" w:type="dxa"/>
                  <w:vAlign w:val="center"/>
                </w:tcPr>
                <w:p>
                  <w:pPr>
                    <w:bidi w:val="0"/>
                    <w:jc w:val="center"/>
                    <w:rPr>
                      <w:rFonts w:hint="default"/>
                      <w:color w:val="auto"/>
                      <w:vertAlign w:val="baseline"/>
                      <w:lang w:val="en-US" w:eastAsia="zh-CN"/>
                    </w:rPr>
                  </w:pPr>
                  <w:r>
                    <w:rPr>
                      <w:rFonts w:hint="eastAsia"/>
                      <w:color w:val="auto"/>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24" w:type="dxa"/>
                  <w:gridSpan w:val="9"/>
                  <w:vAlign w:val="center"/>
                </w:tcPr>
                <w:p>
                  <w:pPr>
                    <w:bidi w:val="0"/>
                    <w:jc w:val="center"/>
                    <w:rPr>
                      <w:rFonts w:hint="eastAsia"/>
                      <w:color w:val="auto"/>
                      <w:vertAlign w:val="baseline"/>
                      <w:lang w:val="en-US" w:eastAsia="zh-CN"/>
                    </w:rPr>
                  </w:pPr>
                  <w:r>
                    <w:rPr>
                      <w:rFonts w:hint="default" w:ascii="Times New Roman" w:hAnsi="Times New Roman" w:eastAsia="宋体" w:cs="Times New Roman"/>
                      <w:color w:val="auto"/>
                      <w:sz w:val="18"/>
                      <w:szCs w:val="18"/>
                      <w:vertAlign w:val="baseline"/>
                      <w:lang w:val="en-US" w:eastAsia="zh-CN"/>
                    </w:rPr>
                    <w:t>注：二氧化硫的产排污系数是以含硫量（s%）的形式表示的，其中含硫量（S%）是指生物质收到基硫含量，以质量百分数的形式表示。例如生物质中含硫量（S%）为0.1%，则S=0.1。</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根据生物质燃料检测报告，生物质颗粒燃料空气干燥基全硫0.</w:t>
            </w:r>
            <w:r>
              <w:rPr>
                <w:rFonts w:hint="eastAsia" w:ascii="Times New Roman" w:hAnsi="Times New Roman" w:eastAsia="宋体" w:cs="Times New Roman"/>
                <w:color w:val="auto"/>
                <w:sz w:val="24"/>
                <w:szCs w:val="24"/>
                <w:lang w:val="en-US" w:eastAsia="zh-CN"/>
              </w:rPr>
              <w:t>05</w:t>
            </w:r>
            <w:r>
              <w:rPr>
                <w:rFonts w:hint="default" w:ascii="Times New Roman" w:hAnsi="Times New Roman" w:eastAsia="宋体" w:cs="Times New Roman"/>
                <w:color w:val="auto"/>
                <w:sz w:val="24"/>
                <w:szCs w:val="24"/>
                <w:lang w:val="en-US" w:eastAsia="zh-CN"/>
              </w:rPr>
              <w:t>%，S=0.</w:t>
            </w:r>
            <w:r>
              <w:rPr>
                <w:rFonts w:hint="eastAsia" w:ascii="Times New Roman" w:hAnsi="Times New Roman" w:eastAsia="宋体" w:cs="Times New Roman"/>
                <w:color w:val="auto"/>
                <w:sz w:val="24"/>
                <w:szCs w:val="24"/>
                <w:lang w:val="en-US" w:eastAsia="zh-CN"/>
              </w:rPr>
              <w:t>05</w:t>
            </w:r>
            <w:r>
              <w:rPr>
                <w:rFonts w:hint="default" w:ascii="Times New Roman" w:hAnsi="Times New Roman" w:eastAsia="宋体" w:cs="Times New Roman"/>
                <w:color w:val="auto"/>
                <w:sz w:val="24"/>
                <w:szCs w:val="24"/>
                <w:lang w:val="en-US" w:eastAsia="zh-CN"/>
              </w:rPr>
              <w:t>，则本项目二氧化硫产污系数为</w:t>
            </w:r>
            <w:r>
              <w:rPr>
                <w:rFonts w:hint="eastAsia" w:ascii="Times New Roman" w:hAnsi="Times New Roman" w:eastAsia="宋体" w:cs="Times New Roman"/>
                <w:color w:val="auto"/>
                <w:sz w:val="24"/>
                <w:szCs w:val="24"/>
                <w:lang w:val="en-US" w:eastAsia="zh-CN"/>
              </w:rPr>
              <w:t>0.85</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废气量：6240标m³/t-原料×</w:t>
            </w:r>
            <w:r>
              <w:rPr>
                <w:rFonts w:hint="eastAsia" w:ascii="Times New Roman" w:hAnsi="Times New Roman" w:eastAsia="宋体" w:cs="Times New Roman"/>
                <w:color w:val="auto"/>
                <w:sz w:val="24"/>
                <w:szCs w:val="24"/>
                <w:lang w:val="en-US" w:eastAsia="zh-CN"/>
              </w:rPr>
              <w:t>1152</w:t>
            </w:r>
            <w:r>
              <w:rPr>
                <w:rFonts w:hint="default" w:ascii="Times New Roman" w:hAnsi="Times New Roman" w:eastAsia="宋体" w:cs="Times New Roman"/>
                <w:color w:val="auto"/>
                <w:sz w:val="24"/>
                <w:szCs w:val="24"/>
                <w:lang w:val="en-US" w:eastAsia="zh-CN"/>
              </w:rPr>
              <w:t>t/a=</w:t>
            </w:r>
            <w:r>
              <w:rPr>
                <w:rFonts w:hint="eastAsia" w:ascii="Times New Roman" w:hAnsi="Times New Roman" w:eastAsia="宋体" w:cs="Times New Roman"/>
                <w:color w:val="auto"/>
                <w:sz w:val="24"/>
                <w:szCs w:val="24"/>
                <w:lang w:val="en-US" w:eastAsia="zh-CN"/>
              </w:rPr>
              <w:t>718.85</w:t>
            </w:r>
            <w:r>
              <w:rPr>
                <w:rFonts w:hint="default" w:ascii="Times New Roman" w:hAnsi="Times New Roman" w:eastAsia="宋体" w:cs="Times New Roman"/>
                <w:color w:val="auto"/>
                <w:sz w:val="24"/>
                <w:szCs w:val="24"/>
                <w:lang w:val="en-US" w:eastAsia="zh-CN"/>
              </w:rPr>
              <w:t>万标m³/a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二氧化硫：</w:t>
            </w:r>
            <w:r>
              <w:rPr>
                <w:rFonts w:hint="eastAsia" w:ascii="Times New Roman" w:hAnsi="Times New Roman" w:eastAsia="宋体" w:cs="Times New Roman"/>
                <w:color w:val="auto"/>
                <w:sz w:val="24"/>
                <w:szCs w:val="24"/>
                <w:lang w:val="en-US" w:eastAsia="zh-CN"/>
              </w:rPr>
              <w:t>0.85</w:t>
            </w:r>
            <w:r>
              <w:rPr>
                <w:rFonts w:hint="default" w:ascii="Times New Roman" w:hAnsi="Times New Roman" w:eastAsia="宋体" w:cs="Times New Roman"/>
                <w:color w:val="auto"/>
                <w:sz w:val="24"/>
                <w:szCs w:val="24"/>
                <w:lang w:val="en-US" w:eastAsia="zh-CN"/>
              </w:rPr>
              <w:t>kg/t-原料×</w:t>
            </w:r>
            <w:r>
              <w:rPr>
                <w:rFonts w:hint="eastAsia" w:ascii="Times New Roman" w:hAnsi="Times New Roman" w:eastAsia="宋体" w:cs="Times New Roman"/>
                <w:color w:val="auto"/>
                <w:sz w:val="24"/>
                <w:szCs w:val="24"/>
                <w:lang w:val="en-US" w:eastAsia="zh-CN"/>
              </w:rPr>
              <w:t>1152</w:t>
            </w:r>
            <w:r>
              <w:rPr>
                <w:rFonts w:hint="default" w:ascii="Times New Roman" w:hAnsi="Times New Roman" w:eastAsia="宋体" w:cs="Times New Roman"/>
                <w:color w:val="auto"/>
                <w:sz w:val="24"/>
                <w:szCs w:val="24"/>
                <w:lang w:val="en-US" w:eastAsia="zh-CN"/>
              </w:rPr>
              <w:t>t/a=</w:t>
            </w:r>
            <w:r>
              <w:rPr>
                <w:rFonts w:hint="eastAsia" w:ascii="Times New Roman" w:hAnsi="Times New Roman" w:eastAsia="宋体" w:cs="Times New Roman"/>
                <w:color w:val="auto"/>
                <w:sz w:val="24"/>
                <w:szCs w:val="24"/>
                <w:lang w:val="en-US" w:eastAsia="zh-CN"/>
              </w:rPr>
              <w:t>0.98</w:t>
            </w:r>
            <w:r>
              <w:rPr>
                <w:rFonts w:hint="default" w:ascii="Times New Roman" w:hAnsi="Times New Roman" w:eastAsia="宋体" w:cs="Times New Roman"/>
                <w:color w:val="auto"/>
                <w:sz w:val="24"/>
                <w:szCs w:val="24"/>
                <w:lang w:val="en-US" w:eastAsia="zh-CN"/>
              </w:rPr>
              <w:t>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颗粒物：0.5kg/t-原料×</w:t>
            </w:r>
            <w:r>
              <w:rPr>
                <w:rFonts w:hint="eastAsia" w:ascii="Times New Roman" w:hAnsi="Times New Roman" w:eastAsia="宋体" w:cs="Times New Roman"/>
                <w:color w:val="auto"/>
                <w:sz w:val="24"/>
                <w:szCs w:val="24"/>
                <w:lang w:val="en-US" w:eastAsia="zh-CN"/>
              </w:rPr>
              <w:t>1152</w:t>
            </w:r>
            <w:r>
              <w:rPr>
                <w:rFonts w:hint="default" w:ascii="Times New Roman" w:hAnsi="Times New Roman" w:eastAsia="宋体" w:cs="Times New Roman"/>
                <w:color w:val="auto"/>
                <w:sz w:val="24"/>
                <w:szCs w:val="24"/>
                <w:lang w:val="en-US" w:eastAsia="zh-CN"/>
              </w:rPr>
              <w:t>t/a=</w:t>
            </w:r>
            <w:r>
              <w:rPr>
                <w:rFonts w:hint="eastAsia" w:ascii="Times New Roman" w:hAnsi="Times New Roman" w:eastAsia="宋体" w:cs="Times New Roman"/>
                <w:color w:val="auto"/>
                <w:sz w:val="24"/>
                <w:szCs w:val="24"/>
                <w:lang w:val="en-US" w:eastAsia="zh-CN"/>
              </w:rPr>
              <w:t>0.58</w:t>
            </w:r>
            <w:r>
              <w:rPr>
                <w:rFonts w:hint="default" w:ascii="Times New Roman" w:hAnsi="Times New Roman" w:eastAsia="宋体" w:cs="Times New Roman"/>
                <w:color w:val="auto"/>
                <w:sz w:val="24"/>
                <w:szCs w:val="24"/>
                <w:lang w:val="en-US" w:eastAsia="zh-CN"/>
              </w:rPr>
              <w:t>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氮氧化物：1.02kg/t-原料×</w:t>
            </w:r>
            <w:r>
              <w:rPr>
                <w:rFonts w:hint="eastAsia" w:ascii="Times New Roman" w:hAnsi="Times New Roman" w:eastAsia="宋体" w:cs="Times New Roman"/>
                <w:color w:val="auto"/>
                <w:sz w:val="24"/>
                <w:szCs w:val="24"/>
                <w:lang w:val="en-US" w:eastAsia="zh-CN"/>
              </w:rPr>
              <w:t>1152</w:t>
            </w:r>
            <w:r>
              <w:rPr>
                <w:rFonts w:hint="default" w:ascii="Times New Roman" w:hAnsi="Times New Roman" w:eastAsia="宋体" w:cs="Times New Roman"/>
                <w:color w:val="auto"/>
                <w:sz w:val="24"/>
                <w:szCs w:val="24"/>
                <w:lang w:val="en-US" w:eastAsia="zh-CN"/>
              </w:rPr>
              <w:t>t/a=</w:t>
            </w:r>
            <w:r>
              <w:rPr>
                <w:rFonts w:hint="eastAsia" w:ascii="Times New Roman" w:hAnsi="Times New Roman" w:eastAsia="宋体" w:cs="Times New Roman"/>
                <w:color w:val="auto"/>
                <w:sz w:val="24"/>
                <w:szCs w:val="24"/>
                <w:lang w:val="en-US" w:eastAsia="zh-CN"/>
              </w:rPr>
              <w:t>1.18</w:t>
            </w:r>
            <w:r>
              <w:rPr>
                <w:rFonts w:hint="default" w:ascii="Times New Roman" w:hAnsi="Times New Roman" w:eastAsia="宋体" w:cs="Times New Roman"/>
                <w:color w:val="auto"/>
                <w:sz w:val="24"/>
                <w:szCs w:val="24"/>
                <w:lang w:val="en-US" w:eastAsia="zh-CN"/>
              </w:rPr>
              <w:t>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项目产生的烟气经</w:t>
            </w:r>
            <w:r>
              <w:rPr>
                <w:rFonts w:hint="eastAsia" w:ascii="Times New Roman" w:hAnsi="Times New Roman" w:eastAsia="宋体" w:cs="Times New Roman"/>
                <w:color w:val="auto"/>
                <w:sz w:val="24"/>
                <w:szCs w:val="24"/>
                <w:lang w:val="en-US" w:eastAsia="zh-CN"/>
              </w:rPr>
              <w:t>水膜</w:t>
            </w:r>
            <w:r>
              <w:rPr>
                <w:rFonts w:hint="default" w:ascii="Times New Roman" w:hAnsi="Times New Roman" w:eastAsia="宋体" w:cs="Times New Roman"/>
                <w:color w:val="auto"/>
                <w:sz w:val="24"/>
                <w:szCs w:val="24"/>
                <w:lang w:val="en-US" w:eastAsia="zh-CN"/>
              </w:rPr>
              <w:t>除尘器处理，</w:t>
            </w:r>
            <w:r>
              <w:rPr>
                <w:rFonts w:hint="eastAsia" w:ascii="Times New Roman" w:hAnsi="Times New Roman" w:eastAsia="宋体" w:cs="Times New Roman"/>
                <w:color w:val="auto"/>
                <w:sz w:val="24"/>
                <w:szCs w:val="24"/>
                <w:lang w:val="en-US" w:eastAsia="zh-CN"/>
              </w:rPr>
              <w:t>水膜</w:t>
            </w:r>
            <w:r>
              <w:rPr>
                <w:rFonts w:hint="default" w:ascii="Times New Roman" w:hAnsi="Times New Roman" w:eastAsia="宋体" w:cs="Times New Roman"/>
                <w:color w:val="auto"/>
                <w:sz w:val="24"/>
                <w:szCs w:val="24"/>
                <w:lang w:val="en-US" w:eastAsia="zh-CN"/>
              </w:rPr>
              <w:t>除尘器除尘效率为</w:t>
            </w:r>
            <w:r>
              <w:rPr>
                <w:rFonts w:hint="eastAsia" w:ascii="Times New Roman" w:hAnsi="Times New Roman" w:eastAsia="宋体" w:cs="Times New Roman"/>
                <w:color w:val="auto"/>
                <w:sz w:val="24"/>
                <w:szCs w:val="24"/>
                <w:lang w:val="en-US" w:eastAsia="zh-CN"/>
              </w:rPr>
              <w:t>87.0</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color w:val="auto"/>
                <w:sz w:val="24"/>
                <w:szCs w:val="24"/>
                <w:lang w:val="en-US" w:eastAsia="zh-CN"/>
              </w:rPr>
              <w:t>颗粒物排放量：0.58t/a×（100-87.0）%=0.075t/a</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表4-2  项目锅炉废气污染物排放量情况表</w:t>
            </w:r>
          </w:p>
          <w:tbl>
            <w:tblPr>
              <w:tblStyle w:val="7"/>
              <w:tblW w:w="7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839"/>
              <w:gridCol w:w="658"/>
              <w:gridCol w:w="769"/>
              <w:gridCol w:w="1066"/>
              <w:gridCol w:w="788"/>
              <w:gridCol w:w="955"/>
              <w:gridCol w:w="1044"/>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8"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锅炉</w:t>
                  </w:r>
                </w:p>
              </w:tc>
              <w:tc>
                <w:tcPr>
                  <w:tcW w:w="839"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污染物</w:t>
                  </w:r>
                </w:p>
              </w:tc>
              <w:tc>
                <w:tcPr>
                  <w:tcW w:w="658"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排污系数</w:t>
                  </w:r>
                </w:p>
              </w:tc>
              <w:tc>
                <w:tcPr>
                  <w:tcW w:w="769"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产生量t/a</w:t>
                  </w:r>
                </w:p>
              </w:tc>
              <w:tc>
                <w:tcPr>
                  <w:tcW w:w="1066"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产生浓度mg/m³</w:t>
                  </w:r>
                </w:p>
              </w:tc>
              <w:tc>
                <w:tcPr>
                  <w:tcW w:w="788"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排放量t/a</w:t>
                  </w:r>
                </w:p>
              </w:tc>
              <w:tc>
                <w:tcPr>
                  <w:tcW w:w="955"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排放速率kg/h</w:t>
                  </w:r>
                </w:p>
              </w:tc>
              <w:tc>
                <w:tcPr>
                  <w:tcW w:w="1044"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排放浓度mg/m³</w:t>
                  </w:r>
                </w:p>
              </w:tc>
              <w:tc>
                <w:tcPr>
                  <w:tcW w:w="1044"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排放标准mg/m³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8"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2.5t/h（一备一用）</w:t>
                  </w:r>
                </w:p>
              </w:tc>
              <w:tc>
                <w:tcPr>
                  <w:tcW w:w="8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SO</w:t>
                  </w:r>
                  <w:r>
                    <w:rPr>
                      <w:rFonts w:hint="default" w:ascii="Times New Roman" w:hAnsi="Times New Roman" w:eastAsia="宋体" w:cs="Times New Roman"/>
                      <w:color w:val="auto"/>
                      <w:sz w:val="21"/>
                      <w:szCs w:val="21"/>
                      <w:vertAlign w:val="subscript"/>
                      <w:lang w:val="en-US" w:eastAsia="zh-CN"/>
                    </w:rPr>
                    <w:t>2</w:t>
                  </w:r>
                </w:p>
              </w:tc>
              <w:tc>
                <w:tcPr>
                  <w:tcW w:w="65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0.85</w:t>
                  </w:r>
                </w:p>
              </w:tc>
              <w:tc>
                <w:tcPr>
                  <w:tcW w:w="76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0.98</w:t>
                  </w:r>
                </w:p>
              </w:tc>
              <w:tc>
                <w:tcPr>
                  <w:tcW w:w="1066"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136</w:t>
                  </w:r>
                </w:p>
              </w:tc>
              <w:tc>
                <w:tcPr>
                  <w:tcW w:w="7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0.98</w:t>
                  </w:r>
                </w:p>
              </w:tc>
              <w:tc>
                <w:tcPr>
                  <w:tcW w:w="95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0.2</w:t>
                  </w:r>
                </w:p>
              </w:tc>
              <w:tc>
                <w:tcPr>
                  <w:tcW w:w="104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136</w:t>
                  </w:r>
                </w:p>
              </w:tc>
              <w:tc>
                <w:tcPr>
                  <w:tcW w:w="104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8"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8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NO</w:t>
                  </w:r>
                  <w:r>
                    <w:rPr>
                      <w:rFonts w:hint="default" w:ascii="Times New Roman" w:hAnsi="Times New Roman" w:eastAsia="宋体" w:cs="Times New Roman"/>
                      <w:color w:val="auto"/>
                      <w:sz w:val="21"/>
                      <w:szCs w:val="21"/>
                      <w:vertAlign w:val="subscript"/>
                      <w:lang w:val="en-US" w:eastAsia="zh-CN"/>
                    </w:rPr>
                    <w:t>x</w:t>
                  </w:r>
                </w:p>
              </w:tc>
              <w:tc>
                <w:tcPr>
                  <w:tcW w:w="65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1.02</w:t>
                  </w:r>
                </w:p>
              </w:tc>
              <w:tc>
                <w:tcPr>
                  <w:tcW w:w="76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1.18</w:t>
                  </w:r>
                </w:p>
              </w:tc>
              <w:tc>
                <w:tcPr>
                  <w:tcW w:w="1066"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164</w:t>
                  </w:r>
                </w:p>
              </w:tc>
              <w:tc>
                <w:tcPr>
                  <w:tcW w:w="7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1.18</w:t>
                  </w:r>
                </w:p>
              </w:tc>
              <w:tc>
                <w:tcPr>
                  <w:tcW w:w="95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0.24</w:t>
                  </w:r>
                </w:p>
              </w:tc>
              <w:tc>
                <w:tcPr>
                  <w:tcW w:w="104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164</w:t>
                  </w:r>
                </w:p>
              </w:tc>
              <w:tc>
                <w:tcPr>
                  <w:tcW w:w="104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58"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83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颗粒物</w:t>
                  </w:r>
                </w:p>
              </w:tc>
              <w:tc>
                <w:tcPr>
                  <w:tcW w:w="65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0.5</w:t>
                  </w:r>
                </w:p>
              </w:tc>
              <w:tc>
                <w:tcPr>
                  <w:tcW w:w="76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0.58</w:t>
                  </w:r>
                </w:p>
              </w:tc>
              <w:tc>
                <w:tcPr>
                  <w:tcW w:w="1066"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80</w:t>
                  </w:r>
                </w:p>
              </w:tc>
              <w:tc>
                <w:tcPr>
                  <w:tcW w:w="78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0.075</w:t>
                  </w:r>
                </w:p>
              </w:tc>
              <w:tc>
                <w:tcPr>
                  <w:tcW w:w="95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0.015</w:t>
                  </w:r>
                </w:p>
              </w:tc>
              <w:tc>
                <w:tcPr>
                  <w:tcW w:w="104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10</w:t>
                  </w:r>
                </w:p>
              </w:tc>
              <w:tc>
                <w:tcPr>
                  <w:tcW w:w="104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根据上表可知，拟建生物质锅炉运行产生的废气排放浓度均达到《锅炉大气污染物排放标准》（GB13271-2014）表2新建锅炉大气污染物排放浓度限值要求。</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化粪池废气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项目在生产区不会产生异味，但在</w:t>
            </w:r>
            <w:r>
              <w:rPr>
                <w:rFonts w:hint="eastAsia" w:ascii="Times New Roman" w:hAnsi="Times New Roman" w:eastAsia="宋体" w:cs="Times New Roman"/>
                <w:color w:val="auto"/>
                <w:sz w:val="24"/>
                <w:szCs w:val="24"/>
                <w:lang w:val="en-US" w:eastAsia="zh-CN"/>
              </w:rPr>
              <w:t>化粪池</w:t>
            </w:r>
            <w:r>
              <w:rPr>
                <w:rFonts w:hint="default" w:ascii="Times New Roman" w:hAnsi="Times New Roman" w:eastAsia="宋体" w:cs="Times New Roman"/>
                <w:color w:val="auto"/>
                <w:sz w:val="24"/>
                <w:szCs w:val="24"/>
                <w:lang w:val="en-US" w:eastAsia="zh-CN"/>
              </w:rPr>
              <w:t>会产生轻微的异味，</w:t>
            </w:r>
            <w:r>
              <w:rPr>
                <w:rFonts w:hint="eastAsia" w:ascii="Times New Roman" w:hAnsi="Times New Roman" w:eastAsia="宋体" w:cs="Times New Roman"/>
                <w:color w:val="auto"/>
                <w:sz w:val="24"/>
                <w:szCs w:val="24"/>
                <w:lang w:val="en-US" w:eastAsia="zh-CN"/>
              </w:rPr>
              <w:t>化粪池</w:t>
            </w:r>
            <w:r>
              <w:rPr>
                <w:rFonts w:hint="default" w:ascii="Times New Roman" w:hAnsi="Times New Roman" w:eastAsia="宋体" w:cs="Times New Roman"/>
                <w:color w:val="auto"/>
                <w:sz w:val="24"/>
                <w:szCs w:val="24"/>
                <w:lang w:val="en-US" w:eastAsia="zh-CN"/>
              </w:rPr>
              <w:t>接纳项目洗涤废水，其中富含蛋白质等有机物质，极易腐败，产生诸如硫化氢、氨之类的敏感性恶臭物质。由于项目污水主要以洗涤废水为主，有机污染物含量较低，且项目将</w:t>
            </w:r>
            <w:r>
              <w:rPr>
                <w:rFonts w:hint="eastAsia" w:ascii="Times New Roman" w:hAnsi="Times New Roman" w:eastAsia="宋体" w:cs="Times New Roman"/>
                <w:color w:val="auto"/>
                <w:sz w:val="24"/>
                <w:szCs w:val="24"/>
                <w:lang w:val="en-US" w:eastAsia="zh-CN"/>
              </w:rPr>
              <w:t>化粪</w:t>
            </w:r>
            <w:r>
              <w:rPr>
                <w:rFonts w:hint="default" w:ascii="Times New Roman" w:hAnsi="Times New Roman" w:eastAsia="宋体" w:cs="Times New Roman"/>
                <w:color w:val="auto"/>
                <w:sz w:val="24"/>
                <w:szCs w:val="24"/>
                <w:lang w:val="en-US" w:eastAsia="zh-CN"/>
              </w:rPr>
              <w:t>池进行封闭，项目</w:t>
            </w:r>
            <w:r>
              <w:rPr>
                <w:rFonts w:hint="eastAsia" w:ascii="Times New Roman" w:hAnsi="Times New Roman" w:eastAsia="宋体" w:cs="Times New Roman"/>
                <w:color w:val="auto"/>
                <w:sz w:val="24"/>
                <w:szCs w:val="24"/>
                <w:lang w:val="en-US" w:eastAsia="zh-CN"/>
              </w:rPr>
              <w:t>化粪池</w:t>
            </w:r>
            <w:r>
              <w:rPr>
                <w:rFonts w:hint="default" w:ascii="Times New Roman" w:hAnsi="Times New Roman" w:eastAsia="宋体" w:cs="Times New Roman"/>
                <w:color w:val="auto"/>
                <w:sz w:val="24"/>
                <w:szCs w:val="24"/>
                <w:lang w:val="en-US" w:eastAsia="zh-CN"/>
              </w:rPr>
              <w:t>运营过程中产生的异味不明显，对周围环境影响较小。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项目废气污染源源强核算结果及相关参数见下表；</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表4-3  项目废气污染源源强核算结果及相关参数一览表</w:t>
            </w:r>
          </w:p>
          <w:tbl>
            <w:tblPr>
              <w:tblStyle w:val="7"/>
              <w:tblW w:w="7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
              <w:gridCol w:w="346"/>
              <w:gridCol w:w="446"/>
              <w:gridCol w:w="510"/>
              <w:gridCol w:w="714"/>
              <w:gridCol w:w="637"/>
              <w:gridCol w:w="425"/>
              <w:gridCol w:w="663"/>
              <w:gridCol w:w="425"/>
              <w:gridCol w:w="550"/>
              <w:gridCol w:w="724"/>
              <w:gridCol w:w="610"/>
              <w:gridCol w:w="545"/>
              <w:gridCol w:w="549"/>
              <w:gridCol w:w="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6" w:type="dxa"/>
                  <w:vMerge w:val="restart"/>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产污环节</w:t>
                  </w:r>
                </w:p>
              </w:tc>
              <w:tc>
                <w:tcPr>
                  <w:tcW w:w="346" w:type="dxa"/>
                  <w:vMerge w:val="restart"/>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污染物</w:t>
                  </w:r>
                </w:p>
              </w:tc>
              <w:tc>
                <w:tcPr>
                  <w:tcW w:w="2307" w:type="dxa"/>
                  <w:gridSpan w:val="4"/>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污染物产生</w:t>
                  </w:r>
                </w:p>
              </w:tc>
              <w:tc>
                <w:tcPr>
                  <w:tcW w:w="425" w:type="dxa"/>
                  <w:vMerge w:val="restart"/>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排放方式</w:t>
                  </w:r>
                </w:p>
              </w:tc>
              <w:tc>
                <w:tcPr>
                  <w:tcW w:w="1088" w:type="dxa"/>
                  <w:gridSpan w:val="2"/>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治理措施</w:t>
                  </w:r>
                </w:p>
              </w:tc>
              <w:tc>
                <w:tcPr>
                  <w:tcW w:w="1884" w:type="dxa"/>
                  <w:gridSpan w:val="3"/>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污染物排放量</w:t>
                  </w:r>
                </w:p>
              </w:tc>
              <w:tc>
                <w:tcPr>
                  <w:tcW w:w="545" w:type="dxa"/>
                  <w:vMerge w:val="restart"/>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治理措施是否为可行</w:t>
                  </w:r>
                </w:p>
              </w:tc>
              <w:tc>
                <w:tcPr>
                  <w:tcW w:w="549" w:type="dxa"/>
                  <w:vMerge w:val="restart"/>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排放标准（mg/m³）</w:t>
                  </w:r>
                </w:p>
              </w:tc>
              <w:tc>
                <w:tcPr>
                  <w:tcW w:w="437" w:type="dxa"/>
                  <w:vMerge w:val="restart"/>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排放时间h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6"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346"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446"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主要污染物</w:t>
                  </w:r>
                </w:p>
              </w:tc>
              <w:tc>
                <w:tcPr>
                  <w:tcW w:w="510"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烟气产生量</w:t>
                  </w:r>
                </w:p>
              </w:tc>
              <w:tc>
                <w:tcPr>
                  <w:tcW w:w="714"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产生浓度（mg/m³）</w:t>
                  </w:r>
                </w:p>
              </w:tc>
              <w:tc>
                <w:tcPr>
                  <w:tcW w:w="637"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产生量（t/a）</w:t>
                  </w:r>
                </w:p>
              </w:tc>
              <w:tc>
                <w:tcPr>
                  <w:tcW w:w="425"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63"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工艺</w:t>
                  </w:r>
                </w:p>
              </w:tc>
              <w:tc>
                <w:tcPr>
                  <w:tcW w:w="425"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效率（%）</w:t>
                  </w:r>
                </w:p>
              </w:tc>
              <w:tc>
                <w:tcPr>
                  <w:tcW w:w="550"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废气排放量</w:t>
                  </w:r>
                </w:p>
              </w:tc>
              <w:tc>
                <w:tcPr>
                  <w:tcW w:w="724"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排放浓度（mg/m³）</w:t>
                  </w:r>
                </w:p>
              </w:tc>
              <w:tc>
                <w:tcPr>
                  <w:tcW w:w="610"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排放量（t/a）</w:t>
                  </w:r>
                </w:p>
              </w:tc>
              <w:tc>
                <w:tcPr>
                  <w:tcW w:w="545"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549"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437"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346" w:type="dxa"/>
                  <w:vMerge w:val="restart"/>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生物质锅炉</w:t>
                  </w:r>
                </w:p>
              </w:tc>
              <w:tc>
                <w:tcPr>
                  <w:tcW w:w="346" w:type="dxa"/>
                  <w:vMerge w:val="restart"/>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锅炉废气</w:t>
                  </w:r>
                </w:p>
              </w:tc>
              <w:tc>
                <w:tcPr>
                  <w:tcW w:w="446"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SO</w:t>
                  </w:r>
                  <w:r>
                    <w:rPr>
                      <w:rFonts w:hint="eastAsia" w:ascii="Times New Roman" w:hAnsi="Times New Roman" w:eastAsia="宋体" w:cs="Times New Roman"/>
                      <w:color w:val="auto"/>
                      <w:sz w:val="15"/>
                      <w:szCs w:val="15"/>
                      <w:vertAlign w:val="subscript"/>
                      <w:lang w:val="en-US" w:eastAsia="zh-CN"/>
                    </w:rPr>
                    <w:t>2</w:t>
                  </w:r>
                </w:p>
              </w:tc>
              <w:tc>
                <w:tcPr>
                  <w:tcW w:w="510" w:type="dxa"/>
                  <w:vMerge w:val="restart"/>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718.85万</w:t>
                  </w:r>
                  <w:r>
                    <w:rPr>
                      <w:rFonts w:hint="default" w:ascii="Times New Roman" w:hAnsi="Times New Roman" w:eastAsia="宋体" w:cs="Times New Roman"/>
                      <w:color w:val="auto"/>
                      <w:sz w:val="15"/>
                      <w:szCs w:val="15"/>
                      <w:lang w:val="en-US" w:eastAsia="zh-CN"/>
                    </w:rPr>
                    <w:t>m³/a</w:t>
                  </w:r>
                </w:p>
              </w:tc>
              <w:tc>
                <w:tcPr>
                  <w:tcW w:w="714"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136</w:t>
                  </w:r>
                </w:p>
              </w:tc>
              <w:tc>
                <w:tcPr>
                  <w:tcW w:w="637"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0.98</w:t>
                  </w:r>
                </w:p>
              </w:tc>
              <w:tc>
                <w:tcPr>
                  <w:tcW w:w="425" w:type="dxa"/>
                  <w:vMerge w:val="restart"/>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有组织</w:t>
                  </w:r>
                </w:p>
              </w:tc>
              <w:tc>
                <w:tcPr>
                  <w:tcW w:w="663" w:type="dxa"/>
                  <w:vMerge w:val="restart"/>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经水膜除尘器处理后经30m高排气筒排放</w:t>
                  </w:r>
                </w:p>
              </w:tc>
              <w:tc>
                <w:tcPr>
                  <w:tcW w:w="425"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w:t>
                  </w:r>
                </w:p>
              </w:tc>
              <w:tc>
                <w:tcPr>
                  <w:tcW w:w="550" w:type="dxa"/>
                  <w:vMerge w:val="restart"/>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718.85万</w:t>
                  </w:r>
                  <w:r>
                    <w:rPr>
                      <w:rFonts w:hint="default" w:ascii="Times New Roman" w:hAnsi="Times New Roman" w:eastAsia="宋体" w:cs="Times New Roman"/>
                      <w:color w:val="auto"/>
                      <w:sz w:val="15"/>
                      <w:szCs w:val="15"/>
                      <w:lang w:val="en-US" w:eastAsia="zh-CN"/>
                    </w:rPr>
                    <w:t>m³/a</w:t>
                  </w:r>
                </w:p>
              </w:tc>
              <w:tc>
                <w:tcPr>
                  <w:tcW w:w="724"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136</w:t>
                  </w:r>
                </w:p>
              </w:tc>
              <w:tc>
                <w:tcPr>
                  <w:tcW w:w="610"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0.98</w:t>
                  </w:r>
                </w:p>
              </w:tc>
              <w:tc>
                <w:tcPr>
                  <w:tcW w:w="545"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w:t>
                  </w:r>
                </w:p>
              </w:tc>
              <w:tc>
                <w:tcPr>
                  <w:tcW w:w="549"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300</w:t>
                  </w:r>
                </w:p>
              </w:tc>
              <w:tc>
                <w:tcPr>
                  <w:tcW w:w="437" w:type="dxa"/>
                  <w:vMerge w:val="restart"/>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6" w:type="dxa"/>
                  <w:vMerge w:val="continue"/>
                  <w:vAlign w:val="center"/>
                </w:tcPr>
                <w:p>
                  <w:pPr>
                    <w:bidi w:val="0"/>
                    <w:jc w:val="center"/>
                    <w:rPr>
                      <w:rFonts w:hint="eastAsia" w:ascii="Times New Roman" w:hAnsi="Times New Roman" w:eastAsia="宋体" w:cs="Times New Roman"/>
                      <w:color w:val="auto"/>
                      <w:sz w:val="15"/>
                      <w:szCs w:val="15"/>
                      <w:lang w:val="en-US" w:eastAsia="zh-CN"/>
                    </w:rPr>
                  </w:pPr>
                </w:p>
              </w:tc>
              <w:tc>
                <w:tcPr>
                  <w:tcW w:w="346" w:type="dxa"/>
                  <w:vMerge w:val="continue"/>
                  <w:vAlign w:val="center"/>
                </w:tcPr>
                <w:p>
                  <w:pPr>
                    <w:bidi w:val="0"/>
                    <w:jc w:val="center"/>
                    <w:rPr>
                      <w:rFonts w:hint="eastAsia" w:ascii="Times New Roman" w:hAnsi="Times New Roman" w:eastAsia="宋体" w:cs="Times New Roman"/>
                      <w:color w:val="auto"/>
                      <w:sz w:val="15"/>
                      <w:szCs w:val="15"/>
                      <w:lang w:val="en-US" w:eastAsia="zh-CN"/>
                    </w:rPr>
                  </w:pPr>
                </w:p>
              </w:tc>
              <w:tc>
                <w:tcPr>
                  <w:tcW w:w="446"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NO</w:t>
                  </w:r>
                  <w:r>
                    <w:rPr>
                      <w:rFonts w:hint="eastAsia" w:ascii="Times New Roman" w:hAnsi="Times New Roman" w:eastAsia="宋体" w:cs="Times New Roman"/>
                      <w:color w:val="auto"/>
                      <w:sz w:val="15"/>
                      <w:szCs w:val="15"/>
                      <w:vertAlign w:val="subscript"/>
                      <w:lang w:val="en-US" w:eastAsia="zh-CN"/>
                    </w:rPr>
                    <w:t>x</w:t>
                  </w:r>
                </w:p>
              </w:tc>
              <w:tc>
                <w:tcPr>
                  <w:tcW w:w="510" w:type="dxa"/>
                  <w:vMerge w:val="continue"/>
                  <w:vAlign w:val="center"/>
                </w:tcPr>
                <w:p>
                  <w:pPr>
                    <w:bidi w:val="0"/>
                    <w:jc w:val="center"/>
                    <w:rPr>
                      <w:rFonts w:hint="eastAsia" w:ascii="Times New Roman" w:hAnsi="Times New Roman" w:eastAsia="宋体" w:cs="Times New Roman"/>
                      <w:color w:val="auto"/>
                      <w:sz w:val="15"/>
                      <w:szCs w:val="15"/>
                      <w:lang w:val="en-US" w:eastAsia="zh-CN"/>
                    </w:rPr>
                  </w:pPr>
                </w:p>
              </w:tc>
              <w:tc>
                <w:tcPr>
                  <w:tcW w:w="714"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164</w:t>
                  </w:r>
                </w:p>
              </w:tc>
              <w:tc>
                <w:tcPr>
                  <w:tcW w:w="637"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1.21</w:t>
                  </w:r>
                </w:p>
              </w:tc>
              <w:tc>
                <w:tcPr>
                  <w:tcW w:w="425" w:type="dxa"/>
                  <w:vMerge w:val="continue"/>
                  <w:vAlign w:val="center"/>
                </w:tcPr>
                <w:p>
                  <w:pPr>
                    <w:bidi w:val="0"/>
                    <w:jc w:val="center"/>
                    <w:rPr>
                      <w:rFonts w:hint="eastAsia" w:ascii="Times New Roman" w:hAnsi="Times New Roman" w:eastAsia="宋体" w:cs="Times New Roman"/>
                      <w:color w:val="auto"/>
                      <w:sz w:val="15"/>
                      <w:szCs w:val="15"/>
                      <w:lang w:val="en-US" w:eastAsia="zh-CN"/>
                    </w:rPr>
                  </w:pPr>
                </w:p>
              </w:tc>
              <w:tc>
                <w:tcPr>
                  <w:tcW w:w="663" w:type="dxa"/>
                  <w:vMerge w:val="continue"/>
                  <w:vAlign w:val="center"/>
                </w:tcPr>
                <w:p>
                  <w:pPr>
                    <w:bidi w:val="0"/>
                    <w:jc w:val="center"/>
                    <w:rPr>
                      <w:rFonts w:hint="eastAsia" w:ascii="Times New Roman" w:hAnsi="Times New Roman" w:eastAsia="宋体" w:cs="Times New Roman"/>
                      <w:color w:val="auto"/>
                      <w:sz w:val="15"/>
                      <w:szCs w:val="15"/>
                      <w:lang w:val="en-US" w:eastAsia="zh-CN"/>
                    </w:rPr>
                  </w:pPr>
                </w:p>
              </w:tc>
              <w:tc>
                <w:tcPr>
                  <w:tcW w:w="425"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w:t>
                  </w:r>
                </w:p>
              </w:tc>
              <w:tc>
                <w:tcPr>
                  <w:tcW w:w="550" w:type="dxa"/>
                  <w:vMerge w:val="continue"/>
                  <w:vAlign w:val="center"/>
                </w:tcPr>
                <w:p>
                  <w:pPr>
                    <w:bidi w:val="0"/>
                    <w:jc w:val="center"/>
                    <w:rPr>
                      <w:rFonts w:hint="eastAsia" w:ascii="Times New Roman" w:hAnsi="Times New Roman" w:eastAsia="宋体" w:cs="Times New Roman"/>
                      <w:color w:val="auto"/>
                      <w:sz w:val="15"/>
                      <w:szCs w:val="15"/>
                      <w:lang w:val="en-US" w:eastAsia="zh-CN"/>
                    </w:rPr>
                  </w:pPr>
                </w:p>
              </w:tc>
              <w:tc>
                <w:tcPr>
                  <w:tcW w:w="724"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164</w:t>
                  </w:r>
                </w:p>
              </w:tc>
              <w:tc>
                <w:tcPr>
                  <w:tcW w:w="610"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1.21</w:t>
                  </w:r>
                </w:p>
              </w:tc>
              <w:tc>
                <w:tcPr>
                  <w:tcW w:w="545"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w:t>
                  </w:r>
                </w:p>
              </w:tc>
              <w:tc>
                <w:tcPr>
                  <w:tcW w:w="549"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300</w:t>
                  </w:r>
                </w:p>
              </w:tc>
              <w:tc>
                <w:tcPr>
                  <w:tcW w:w="437"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6" w:type="dxa"/>
                  <w:vMerge w:val="continue"/>
                  <w:vAlign w:val="center"/>
                </w:tcPr>
                <w:p>
                  <w:pPr>
                    <w:bidi w:val="0"/>
                    <w:jc w:val="center"/>
                    <w:rPr>
                      <w:rFonts w:hint="eastAsia" w:ascii="Times New Roman" w:hAnsi="Times New Roman" w:eastAsia="宋体" w:cs="Times New Roman"/>
                      <w:color w:val="auto"/>
                      <w:sz w:val="15"/>
                      <w:szCs w:val="15"/>
                      <w:lang w:val="en-US" w:eastAsia="zh-CN"/>
                    </w:rPr>
                  </w:pPr>
                </w:p>
              </w:tc>
              <w:tc>
                <w:tcPr>
                  <w:tcW w:w="346" w:type="dxa"/>
                  <w:vMerge w:val="continue"/>
                  <w:vAlign w:val="center"/>
                </w:tcPr>
                <w:p>
                  <w:pPr>
                    <w:bidi w:val="0"/>
                    <w:jc w:val="center"/>
                    <w:rPr>
                      <w:rFonts w:hint="eastAsia" w:ascii="Times New Roman" w:hAnsi="Times New Roman" w:eastAsia="宋体" w:cs="Times New Roman"/>
                      <w:color w:val="auto"/>
                      <w:sz w:val="15"/>
                      <w:szCs w:val="15"/>
                      <w:lang w:val="en-US" w:eastAsia="zh-CN"/>
                    </w:rPr>
                  </w:pPr>
                </w:p>
              </w:tc>
              <w:tc>
                <w:tcPr>
                  <w:tcW w:w="446" w:type="dxa"/>
                  <w:vAlign w:val="center"/>
                </w:tcPr>
                <w:p>
                  <w:pPr>
                    <w:bidi w:val="0"/>
                    <w:jc w:val="center"/>
                    <w:rPr>
                      <w:rFonts w:hint="eastAsia"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颗粒物</w:t>
                  </w:r>
                </w:p>
              </w:tc>
              <w:tc>
                <w:tcPr>
                  <w:tcW w:w="510" w:type="dxa"/>
                  <w:vMerge w:val="continue"/>
                  <w:vAlign w:val="center"/>
                </w:tcPr>
                <w:p>
                  <w:pPr>
                    <w:bidi w:val="0"/>
                    <w:jc w:val="center"/>
                    <w:rPr>
                      <w:rFonts w:hint="eastAsia" w:ascii="Times New Roman" w:hAnsi="Times New Roman" w:eastAsia="宋体" w:cs="Times New Roman"/>
                      <w:color w:val="auto"/>
                      <w:sz w:val="15"/>
                      <w:szCs w:val="15"/>
                      <w:lang w:val="en-US" w:eastAsia="zh-CN"/>
                    </w:rPr>
                  </w:pPr>
                </w:p>
              </w:tc>
              <w:tc>
                <w:tcPr>
                  <w:tcW w:w="714"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80</w:t>
                  </w:r>
                </w:p>
              </w:tc>
              <w:tc>
                <w:tcPr>
                  <w:tcW w:w="637"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0.58</w:t>
                  </w:r>
                </w:p>
              </w:tc>
              <w:tc>
                <w:tcPr>
                  <w:tcW w:w="425" w:type="dxa"/>
                  <w:vMerge w:val="continue"/>
                  <w:vAlign w:val="center"/>
                </w:tcPr>
                <w:p>
                  <w:pPr>
                    <w:bidi w:val="0"/>
                    <w:jc w:val="center"/>
                    <w:rPr>
                      <w:rFonts w:hint="eastAsia" w:ascii="Times New Roman" w:hAnsi="Times New Roman" w:eastAsia="宋体" w:cs="Times New Roman"/>
                      <w:color w:val="auto"/>
                      <w:sz w:val="15"/>
                      <w:szCs w:val="15"/>
                      <w:lang w:val="en-US" w:eastAsia="zh-CN"/>
                    </w:rPr>
                  </w:pPr>
                </w:p>
              </w:tc>
              <w:tc>
                <w:tcPr>
                  <w:tcW w:w="663" w:type="dxa"/>
                  <w:vMerge w:val="continue"/>
                  <w:vAlign w:val="center"/>
                </w:tcPr>
                <w:p>
                  <w:pPr>
                    <w:bidi w:val="0"/>
                    <w:jc w:val="center"/>
                    <w:rPr>
                      <w:rFonts w:hint="eastAsia" w:ascii="Times New Roman" w:hAnsi="Times New Roman" w:eastAsia="宋体" w:cs="Times New Roman"/>
                      <w:color w:val="auto"/>
                      <w:sz w:val="15"/>
                      <w:szCs w:val="15"/>
                      <w:lang w:val="en-US" w:eastAsia="zh-CN"/>
                    </w:rPr>
                  </w:pPr>
                </w:p>
              </w:tc>
              <w:tc>
                <w:tcPr>
                  <w:tcW w:w="425"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87.0</w:t>
                  </w:r>
                </w:p>
              </w:tc>
              <w:tc>
                <w:tcPr>
                  <w:tcW w:w="550" w:type="dxa"/>
                  <w:vMerge w:val="continue"/>
                  <w:vAlign w:val="center"/>
                </w:tcPr>
                <w:p>
                  <w:pPr>
                    <w:bidi w:val="0"/>
                    <w:jc w:val="center"/>
                    <w:rPr>
                      <w:rFonts w:hint="eastAsia" w:ascii="Times New Roman" w:hAnsi="Times New Roman" w:eastAsia="宋体" w:cs="Times New Roman"/>
                      <w:color w:val="auto"/>
                      <w:sz w:val="15"/>
                      <w:szCs w:val="15"/>
                      <w:lang w:val="en-US" w:eastAsia="zh-CN"/>
                    </w:rPr>
                  </w:pPr>
                </w:p>
              </w:tc>
              <w:tc>
                <w:tcPr>
                  <w:tcW w:w="724"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10</w:t>
                  </w:r>
                </w:p>
              </w:tc>
              <w:tc>
                <w:tcPr>
                  <w:tcW w:w="610"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0.075</w:t>
                  </w:r>
                </w:p>
              </w:tc>
              <w:tc>
                <w:tcPr>
                  <w:tcW w:w="545" w:type="dxa"/>
                  <w:vAlign w:val="center"/>
                </w:tcPr>
                <w:p>
                  <w:pPr>
                    <w:bidi w:val="0"/>
                    <w:jc w:val="center"/>
                    <w:rPr>
                      <w:rFonts w:hint="eastAsia"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是</w:t>
                  </w:r>
                </w:p>
              </w:tc>
              <w:tc>
                <w:tcPr>
                  <w:tcW w:w="549"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50</w:t>
                  </w:r>
                </w:p>
              </w:tc>
              <w:tc>
                <w:tcPr>
                  <w:tcW w:w="437"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6" w:type="dxa"/>
                  <w:vAlign w:val="center"/>
                </w:tcPr>
                <w:p>
                  <w:pPr>
                    <w:bidi w:val="0"/>
                    <w:jc w:val="center"/>
                    <w:rPr>
                      <w:rFonts w:hint="eastAsia"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化粪池</w:t>
                  </w:r>
                </w:p>
              </w:tc>
              <w:tc>
                <w:tcPr>
                  <w:tcW w:w="346" w:type="dxa"/>
                  <w:vAlign w:val="center"/>
                </w:tcPr>
                <w:p>
                  <w:pPr>
                    <w:bidi w:val="0"/>
                    <w:jc w:val="center"/>
                    <w:rPr>
                      <w:rFonts w:hint="eastAsia"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恶臭</w:t>
                  </w:r>
                </w:p>
              </w:tc>
              <w:tc>
                <w:tcPr>
                  <w:tcW w:w="446" w:type="dxa"/>
                  <w:vAlign w:val="center"/>
                </w:tcPr>
                <w:p>
                  <w:pPr>
                    <w:bidi w:val="0"/>
                    <w:jc w:val="center"/>
                    <w:rPr>
                      <w:rFonts w:hint="eastAsia"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硫化氢</w:t>
                  </w:r>
                </w:p>
              </w:tc>
              <w:tc>
                <w:tcPr>
                  <w:tcW w:w="510"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w:t>
                  </w:r>
                </w:p>
              </w:tc>
              <w:tc>
                <w:tcPr>
                  <w:tcW w:w="714"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w:t>
                  </w:r>
                </w:p>
              </w:tc>
              <w:tc>
                <w:tcPr>
                  <w:tcW w:w="637" w:type="dxa"/>
                  <w:vAlign w:val="center"/>
                </w:tcPr>
                <w:p>
                  <w:pPr>
                    <w:bidi w:val="0"/>
                    <w:jc w:val="center"/>
                    <w:rPr>
                      <w:rFonts w:hint="eastAsia"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少量</w:t>
                  </w:r>
                </w:p>
              </w:tc>
              <w:tc>
                <w:tcPr>
                  <w:tcW w:w="425" w:type="dxa"/>
                  <w:vAlign w:val="center"/>
                </w:tcPr>
                <w:p>
                  <w:pPr>
                    <w:bidi w:val="0"/>
                    <w:jc w:val="center"/>
                    <w:rPr>
                      <w:rFonts w:hint="eastAsia"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无组织</w:t>
                  </w:r>
                </w:p>
              </w:tc>
              <w:tc>
                <w:tcPr>
                  <w:tcW w:w="663" w:type="dxa"/>
                  <w:vAlign w:val="center"/>
                </w:tcPr>
                <w:p>
                  <w:pPr>
                    <w:bidi w:val="0"/>
                    <w:jc w:val="center"/>
                    <w:rPr>
                      <w:rFonts w:hint="eastAsia"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封闭式</w:t>
                  </w:r>
                </w:p>
              </w:tc>
              <w:tc>
                <w:tcPr>
                  <w:tcW w:w="425"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w:t>
                  </w:r>
                </w:p>
              </w:tc>
              <w:tc>
                <w:tcPr>
                  <w:tcW w:w="550"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w:t>
                  </w:r>
                </w:p>
              </w:tc>
              <w:tc>
                <w:tcPr>
                  <w:tcW w:w="724"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w:t>
                  </w:r>
                </w:p>
              </w:tc>
              <w:tc>
                <w:tcPr>
                  <w:tcW w:w="610" w:type="dxa"/>
                  <w:vAlign w:val="center"/>
                </w:tcPr>
                <w:p>
                  <w:pPr>
                    <w:bidi w:val="0"/>
                    <w:jc w:val="center"/>
                    <w:rPr>
                      <w:rFonts w:hint="eastAsia"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少量</w:t>
                  </w:r>
                </w:p>
              </w:tc>
              <w:tc>
                <w:tcPr>
                  <w:tcW w:w="545"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w:t>
                  </w:r>
                </w:p>
              </w:tc>
              <w:tc>
                <w:tcPr>
                  <w:tcW w:w="549"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w:t>
                  </w:r>
                </w:p>
              </w:tc>
              <w:tc>
                <w:tcPr>
                  <w:tcW w:w="437"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24</w:t>
                  </w:r>
                </w:p>
              </w:tc>
            </w:tr>
          </w:tbl>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非正常排放污染物情况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废气非正常排放主要包括防治措施故障以及其他不可预知的情况。设备检修一般在停产时进行，不存在污染物排放。类比同类行业，一般情况下每年故障次数不超过1次，故障后现场工人及时发现上报，在1h内可实现紧急停产、排除故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lang w:val="en-US" w:eastAsia="zh-CN"/>
              </w:rPr>
            </w:pPr>
            <w:r>
              <w:rPr>
                <w:rFonts w:hint="default" w:ascii="Times New Roman" w:hAnsi="Times New Roman" w:eastAsia="宋体" w:cs="Times New Roman"/>
                <w:color w:val="auto"/>
                <w:sz w:val="24"/>
                <w:szCs w:val="24"/>
                <w:lang w:val="en-US" w:eastAsia="zh-CN"/>
              </w:rPr>
              <w:t>本次环评考虑最不利情况下：除尘设施故障后的污染物排放量，废气处理效率按0%计，此情况下污染物排放情况见下表。</w:t>
            </w:r>
          </w:p>
          <w:p>
            <w:pPr>
              <w:bidi w:val="0"/>
              <w:jc w:val="center"/>
              <w:rPr>
                <w:rFonts w:hint="default" w:ascii="Times New Roman" w:hAnsi="Times New Roman" w:eastAsia="宋体" w:cs="Times New Roman"/>
                <w:b/>
                <w:bCs/>
                <w:color w:val="auto"/>
                <w:sz w:val="18"/>
                <w:szCs w:val="18"/>
                <w:lang w:val="en-US" w:eastAsia="zh-CN"/>
              </w:rPr>
            </w:pPr>
            <w:r>
              <w:rPr>
                <w:rFonts w:hint="default" w:ascii="Times New Roman" w:hAnsi="Times New Roman" w:eastAsia="宋体" w:cs="Times New Roman"/>
                <w:b/>
                <w:bCs/>
                <w:color w:val="auto"/>
                <w:sz w:val="18"/>
                <w:szCs w:val="18"/>
                <w:lang w:val="en-US" w:eastAsia="zh-CN"/>
              </w:rPr>
              <w:t>表4-4  污染源非正常排放情况表</w:t>
            </w:r>
          </w:p>
          <w:tbl>
            <w:tblPr>
              <w:tblStyle w:val="7"/>
              <w:tblW w:w="7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200"/>
              <w:gridCol w:w="1023"/>
              <w:gridCol w:w="886"/>
              <w:gridCol w:w="1289"/>
              <w:gridCol w:w="985"/>
              <w:gridCol w:w="985"/>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 w:type="dxa"/>
                  <w:vAlign w:val="center"/>
                </w:tcPr>
                <w:p>
                  <w:pPr>
                    <w:bidi w:val="0"/>
                    <w:jc w:val="center"/>
                    <w:rPr>
                      <w:rFonts w:hint="default" w:ascii="Times New Roman" w:hAnsi="Times New Roman" w:eastAsia="宋体" w:cs="Times New Roman"/>
                      <w:b/>
                      <w:bCs/>
                      <w:color w:val="auto"/>
                      <w:sz w:val="18"/>
                      <w:szCs w:val="18"/>
                      <w:lang w:val="en-US" w:eastAsia="zh-CN"/>
                    </w:rPr>
                  </w:pPr>
                  <w:r>
                    <w:rPr>
                      <w:rFonts w:hint="default" w:ascii="Times New Roman" w:hAnsi="Times New Roman" w:eastAsia="宋体" w:cs="Times New Roman"/>
                      <w:b/>
                      <w:bCs/>
                      <w:color w:val="auto"/>
                      <w:sz w:val="18"/>
                      <w:szCs w:val="18"/>
                      <w:lang w:val="en-US" w:eastAsia="zh-CN"/>
                    </w:rPr>
                    <w:t>序号</w:t>
                  </w:r>
                </w:p>
              </w:tc>
              <w:tc>
                <w:tcPr>
                  <w:tcW w:w="1200" w:type="dxa"/>
                  <w:vAlign w:val="center"/>
                </w:tcPr>
                <w:p>
                  <w:pPr>
                    <w:bidi w:val="0"/>
                    <w:jc w:val="center"/>
                    <w:rPr>
                      <w:rFonts w:hint="default" w:ascii="Times New Roman" w:hAnsi="Times New Roman" w:eastAsia="宋体" w:cs="Times New Roman"/>
                      <w:b/>
                      <w:bCs/>
                      <w:color w:val="auto"/>
                      <w:sz w:val="18"/>
                      <w:szCs w:val="18"/>
                      <w:lang w:val="en-US" w:eastAsia="zh-CN"/>
                    </w:rPr>
                  </w:pPr>
                  <w:r>
                    <w:rPr>
                      <w:rFonts w:hint="default" w:ascii="Times New Roman" w:hAnsi="Times New Roman" w:eastAsia="宋体" w:cs="Times New Roman"/>
                      <w:b/>
                      <w:bCs/>
                      <w:color w:val="auto"/>
                      <w:sz w:val="18"/>
                      <w:szCs w:val="18"/>
                      <w:lang w:val="en-US" w:eastAsia="zh-CN"/>
                    </w:rPr>
                    <w:t>非正常排放源</w:t>
                  </w:r>
                </w:p>
              </w:tc>
              <w:tc>
                <w:tcPr>
                  <w:tcW w:w="1023" w:type="dxa"/>
                  <w:vAlign w:val="center"/>
                </w:tcPr>
                <w:p>
                  <w:pPr>
                    <w:bidi w:val="0"/>
                    <w:jc w:val="center"/>
                    <w:rPr>
                      <w:rFonts w:hint="default" w:ascii="Times New Roman" w:hAnsi="Times New Roman" w:eastAsia="宋体" w:cs="Times New Roman"/>
                      <w:b/>
                      <w:bCs/>
                      <w:color w:val="auto"/>
                      <w:sz w:val="18"/>
                      <w:szCs w:val="18"/>
                      <w:lang w:val="en-US" w:eastAsia="zh-CN"/>
                    </w:rPr>
                  </w:pPr>
                  <w:r>
                    <w:rPr>
                      <w:rFonts w:hint="default" w:ascii="Times New Roman" w:hAnsi="Times New Roman" w:eastAsia="宋体" w:cs="Times New Roman"/>
                      <w:b/>
                      <w:bCs/>
                      <w:color w:val="auto"/>
                      <w:sz w:val="18"/>
                      <w:szCs w:val="18"/>
                      <w:lang w:val="en-US" w:eastAsia="zh-CN"/>
                    </w:rPr>
                    <w:t>非正常排放原因</w:t>
                  </w:r>
                </w:p>
              </w:tc>
              <w:tc>
                <w:tcPr>
                  <w:tcW w:w="886" w:type="dxa"/>
                  <w:vAlign w:val="center"/>
                </w:tcPr>
                <w:p>
                  <w:pPr>
                    <w:bidi w:val="0"/>
                    <w:jc w:val="center"/>
                    <w:rPr>
                      <w:rFonts w:hint="default" w:ascii="Times New Roman" w:hAnsi="Times New Roman" w:eastAsia="宋体" w:cs="Times New Roman"/>
                      <w:b/>
                      <w:bCs/>
                      <w:color w:val="auto"/>
                      <w:sz w:val="18"/>
                      <w:szCs w:val="18"/>
                      <w:lang w:val="en-US" w:eastAsia="zh-CN"/>
                    </w:rPr>
                  </w:pPr>
                  <w:r>
                    <w:rPr>
                      <w:rFonts w:hint="default" w:ascii="Times New Roman" w:hAnsi="Times New Roman" w:eastAsia="宋体" w:cs="Times New Roman"/>
                      <w:b/>
                      <w:bCs/>
                      <w:color w:val="auto"/>
                      <w:sz w:val="18"/>
                      <w:szCs w:val="18"/>
                      <w:lang w:val="en-US" w:eastAsia="zh-CN"/>
                    </w:rPr>
                    <w:t>污染物</w:t>
                  </w:r>
                </w:p>
              </w:tc>
              <w:tc>
                <w:tcPr>
                  <w:tcW w:w="1289" w:type="dxa"/>
                  <w:vAlign w:val="center"/>
                </w:tcPr>
                <w:p>
                  <w:pPr>
                    <w:bidi w:val="0"/>
                    <w:jc w:val="center"/>
                    <w:rPr>
                      <w:rFonts w:hint="default" w:ascii="Times New Roman" w:hAnsi="Times New Roman" w:eastAsia="宋体" w:cs="Times New Roman"/>
                      <w:b/>
                      <w:bCs/>
                      <w:color w:val="auto"/>
                      <w:sz w:val="18"/>
                      <w:szCs w:val="18"/>
                      <w:lang w:val="en-US" w:eastAsia="zh-CN"/>
                    </w:rPr>
                  </w:pPr>
                  <w:r>
                    <w:rPr>
                      <w:rFonts w:hint="default" w:ascii="Times New Roman" w:hAnsi="Times New Roman" w:eastAsia="宋体" w:cs="Times New Roman"/>
                      <w:b/>
                      <w:bCs/>
                      <w:color w:val="auto"/>
                      <w:sz w:val="18"/>
                      <w:szCs w:val="18"/>
                      <w:lang w:val="en-US" w:eastAsia="zh-CN"/>
                    </w:rPr>
                    <w:t>非正常排放浓度（mg/m³）</w:t>
                  </w:r>
                </w:p>
              </w:tc>
              <w:tc>
                <w:tcPr>
                  <w:tcW w:w="985" w:type="dxa"/>
                  <w:vAlign w:val="center"/>
                </w:tcPr>
                <w:p>
                  <w:pPr>
                    <w:bidi w:val="0"/>
                    <w:jc w:val="center"/>
                    <w:rPr>
                      <w:rFonts w:hint="default" w:ascii="Times New Roman" w:hAnsi="Times New Roman" w:eastAsia="宋体" w:cs="Times New Roman"/>
                      <w:b/>
                      <w:bCs/>
                      <w:color w:val="auto"/>
                      <w:sz w:val="18"/>
                      <w:szCs w:val="18"/>
                      <w:lang w:val="en-US" w:eastAsia="zh-CN"/>
                    </w:rPr>
                  </w:pPr>
                  <w:r>
                    <w:rPr>
                      <w:rFonts w:hint="default" w:ascii="Times New Roman" w:hAnsi="Times New Roman" w:eastAsia="宋体" w:cs="Times New Roman"/>
                      <w:b/>
                      <w:bCs/>
                      <w:color w:val="auto"/>
                      <w:sz w:val="18"/>
                      <w:szCs w:val="18"/>
                      <w:lang w:val="en-US" w:eastAsia="zh-CN"/>
                    </w:rPr>
                    <w:t>非正常排放量（t/a）</w:t>
                  </w:r>
                </w:p>
              </w:tc>
              <w:tc>
                <w:tcPr>
                  <w:tcW w:w="985" w:type="dxa"/>
                  <w:vAlign w:val="center"/>
                </w:tcPr>
                <w:p>
                  <w:pPr>
                    <w:bidi w:val="0"/>
                    <w:jc w:val="center"/>
                    <w:rPr>
                      <w:rFonts w:hint="default" w:ascii="Times New Roman" w:hAnsi="Times New Roman" w:eastAsia="宋体" w:cs="Times New Roman"/>
                      <w:b/>
                      <w:bCs/>
                      <w:color w:val="auto"/>
                      <w:sz w:val="18"/>
                      <w:szCs w:val="18"/>
                      <w:lang w:val="en-US" w:eastAsia="zh-CN"/>
                    </w:rPr>
                  </w:pPr>
                  <w:r>
                    <w:rPr>
                      <w:rFonts w:hint="default" w:ascii="Times New Roman" w:hAnsi="Times New Roman" w:eastAsia="宋体" w:cs="Times New Roman"/>
                      <w:b/>
                      <w:bCs/>
                      <w:color w:val="auto"/>
                      <w:sz w:val="18"/>
                      <w:szCs w:val="18"/>
                      <w:lang w:val="en-US" w:eastAsia="zh-CN"/>
                    </w:rPr>
                    <w:t>单次持续时间（h）</w:t>
                  </w:r>
                </w:p>
              </w:tc>
              <w:tc>
                <w:tcPr>
                  <w:tcW w:w="986" w:type="dxa"/>
                  <w:vAlign w:val="center"/>
                </w:tcPr>
                <w:p>
                  <w:pPr>
                    <w:bidi w:val="0"/>
                    <w:jc w:val="center"/>
                    <w:rPr>
                      <w:rFonts w:hint="default" w:ascii="Times New Roman" w:hAnsi="Times New Roman" w:eastAsia="宋体" w:cs="Times New Roman"/>
                      <w:b/>
                      <w:bCs/>
                      <w:color w:val="auto"/>
                      <w:sz w:val="18"/>
                      <w:szCs w:val="18"/>
                      <w:lang w:val="en-US" w:eastAsia="zh-CN"/>
                    </w:rPr>
                  </w:pPr>
                  <w:r>
                    <w:rPr>
                      <w:rFonts w:hint="default" w:ascii="Times New Roman" w:hAnsi="Times New Roman" w:eastAsia="宋体" w:cs="Times New Roman"/>
                      <w:b/>
                      <w:bCs/>
                      <w:color w:val="auto"/>
                      <w:sz w:val="18"/>
                      <w:szCs w:val="18"/>
                      <w:lang w:val="en-US" w:eastAsia="zh-CN"/>
                    </w:rPr>
                    <w:t>年发生频次（次）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 w:type="dxa"/>
                  <w:vMerge w:val="restart"/>
                  <w:vAlign w:val="center"/>
                </w:tcPr>
                <w:p>
                  <w:pPr>
                    <w:bidi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w:t>
                  </w:r>
                </w:p>
              </w:tc>
              <w:tc>
                <w:tcPr>
                  <w:tcW w:w="1200" w:type="dxa"/>
                  <w:vMerge w:val="restart"/>
                  <w:vAlign w:val="center"/>
                </w:tcPr>
                <w:p>
                  <w:pPr>
                    <w:bidi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锅炉烟气排气筒</w:t>
                  </w:r>
                </w:p>
              </w:tc>
              <w:tc>
                <w:tcPr>
                  <w:tcW w:w="1023" w:type="dxa"/>
                  <w:vMerge w:val="restart"/>
                  <w:vAlign w:val="center"/>
                </w:tcPr>
                <w:p>
                  <w:pPr>
                    <w:bidi w:val="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水膜除尘器故障</w:t>
                  </w:r>
                </w:p>
              </w:tc>
              <w:tc>
                <w:tcPr>
                  <w:tcW w:w="886" w:type="dxa"/>
                  <w:vAlign w:val="center"/>
                </w:tcPr>
                <w:p>
                  <w:pPr>
                    <w:bidi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颗粒物</w:t>
                  </w:r>
                </w:p>
              </w:tc>
              <w:tc>
                <w:tcPr>
                  <w:tcW w:w="1289" w:type="dxa"/>
                  <w:vAlign w:val="center"/>
                </w:tcPr>
                <w:p>
                  <w:pPr>
                    <w:bidi w:val="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80</w:t>
                  </w:r>
                </w:p>
              </w:tc>
              <w:tc>
                <w:tcPr>
                  <w:tcW w:w="985" w:type="dxa"/>
                  <w:vAlign w:val="center"/>
                </w:tcPr>
                <w:p>
                  <w:pPr>
                    <w:bidi w:val="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0.58</w:t>
                  </w:r>
                </w:p>
              </w:tc>
              <w:tc>
                <w:tcPr>
                  <w:tcW w:w="985" w:type="dxa"/>
                  <w:vAlign w:val="center"/>
                </w:tcPr>
                <w:p>
                  <w:pPr>
                    <w:bidi w:val="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p>
              </w:tc>
              <w:tc>
                <w:tcPr>
                  <w:tcW w:w="986" w:type="dxa"/>
                  <w:vAlign w:val="center"/>
                </w:tcPr>
                <w:p>
                  <w:pPr>
                    <w:bidi w:val="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 w:type="dxa"/>
                  <w:vMerge w:val="continue"/>
                  <w:vAlign w:val="center"/>
                </w:tcPr>
                <w:p>
                  <w:pPr>
                    <w:bidi w:val="0"/>
                    <w:jc w:val="center"/>
                    <w:rPr>
                      <w:rFonts w:hint="default" w:ascii="Times New Roman" w:hAnsi="Times New Roman" w:eastAsia="宋体" w:cs="Times New Roman"/>
                      <w:color w:val="auto"/>
                      <w:sz w:val="18"/>
                      <w:szCs w:val="18"/>
                      <w:lang w:val="en-US" w:eastAsia="zh-CN"/>
                    </w:rPr>
                  </w:pPr>
                </w:p>
              </w:tc>
              <w:tc>
                <w:tcPr>
                  <w:tcW w:w="1200" w:type="dxa"/>
                  <w:vMerge w:val="continue"/>
                  <w:vAlign w:val="center"/>
                </w:tcPr>
                <w:p>
                  <w:pPr>
                    <w:bidi w:val="0"/>
                    <w:jc w:val="center"/>
                    <w:rPr>
                      <w:rFonts w:hint="default" w:ascii="Times New Roman" w:hAnsi="Times New Roman" w:eastAsia="宋体" w:cs="Times New Roman"/>
                      <w:color w:val="auto"/>
                      <w:sz w:val="18"/>
                      <w:szCs w:val="18"/>
                      <w:lang w:val="en-US" w:eastAsia="zh-CN"/>
                    </w:rPr>
                  </w:pPr>
                </w:p>
              </w:tc>
              <w:tc>
                <w:tcPr>
                  <w:tcW w:w="1023" w:type="dxa"/>
                  <w:vMerge w:val="continue"/>
                  <w:vAlign w:val="center"/>
                </w:tcPr>
                <w:p>
                  <w:pPr>
                    <w:bidi w:val="0"/>
                    <w:jc w:val="center"/>
                    <w:rPr>
                      <w:rFonts w:hint="default" w:ascii="Times New Roman" w:hAnsi="Times New Roman" w:eastAsia="宋体" w:cs="Times New Roman"/>
                      <w:color w:val="auto"/>
                      <w:sz w:val="18"/>
                      <w:szCs w:val="18"/>
                      <w:lang w:val="en-US" w:eastAsia="zh-CN"/>
                    </w:rPr>
                  </w:pPr>
                </w:p>
              </w:tc>
              <w:tc>
                <w:tcPr>
                  <w:tcW w:w="886" w:type="dxa"/>
                  <w:vAlign w:val="center"/>
                </w:tcPr>
                <w:p>
                  <w:pPr>
                    <w:bidi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SO</w:t>
                  </w:r>
                  <w:r>
                    <w:rPr>
                      <w:rFonts w:hint="default" w:ascii="Times New Roman" w:hAnsi="Times New Roman" w:eastAsia="宋体" w:cs="Times New Roman"/>
                      <w:color w:val="auto"/>
                      <w:sz w:val="18"/>
                      <w:szCs w:val="18"/>
                      <w:vertAlign w:val="subscript"/>
                      <w:lang w:val="en-US" w:eastAsia="zh-CN"/>
                    </w:rPr>
                    <w:t>2</w:t>
                  </w:r>
                </w:p>
              </w:tc>
              <w:tc>
                <w:tcPr>
                  <w:tcW w:w="1289" w:type="dxa"/>
                  <w:vAlign w:val="center"/>
                </w:tcPr>
                <w:p>
                  <w:pPr>
                    <w:bidi w:val="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136</w:t>
                  </w:r>
                </w:p>
              </w:tc>
              <w:tc>
                <w:tcPr>
                  <w:tcW w:w="985" w:type="dxa"/>
                  <w:vAlign w:val="center"/>
                </w:tcPr>
                <w:p>
                  <w:pPr>
                    <w:bidi w:val="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0.98</w:t>
                  </w:r>
                </w:p>
              </w:tc>
              <w:tc>
                <w:tcPr>
                  <w:tcW w:w="985" w:type="dxa"/>
                  <w:vAlign w:val="center"/>
                </w:tcPr>
                <w:p>
                  <w:pPr>
                    <w:bidi w:val="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p>
              </w:tc>
              <w:tc>
                <w:tcPr>
                  <w:tcW w:w="986" w:type="dxa"/>
                  <w:vAlign w:val="center"/>
                </w:tcPr>
                <w:p>
                  <w:pPr>
                    <w:bidi w:val="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 w:type="dxa"/>
                  <w:vMerge w:val="continue"/>
                  <w:vAlign w:val="center"/>
                </w:tcPr>
                <w:p>
                  <w:pPr>
                    <w:bidi w:val="0"/>
                    <w:jc w:val="center"/>
                    <w:rPr>
                      <w:rFonts w:hint="default" w:ascii="Times New Roman" w:hAnsi="Times New Roman" w:eastAsia="宋体" w:cs="Times New Roman"/>
                      <w:color w:val="auto"/>
                      <w:sz w:val="18"/>
                      <w:szCs w:val="18"/>
                      <w:lang w:val="en-US" w:eastAsia="zh-CN"/>
                    </w:rPr>
                  </w:pPr>
                </w:p>
              </w:tc>
              <w:tc>
                <w:tcPr>
                  <w:tcW w:w="1200" w:type="dxa"/>
                  <w:vMerge w:val="continue"/>
                  <w:vAlign w:val="center"/>
                </w:tcPr>
                <w:p>
                  <w:pPr>
                    <w:bidi w:val="0"/>
                    <w:jc w:val="center"/>
                    <w:rPr>
                      <w:rFonts w:hint="default" w:ascii="Times New Roman" w:hAnsi="Times New Roman" w:eastAsia="宋体" w:cs="Times New Roman"/>
                      <w:color w:val="auto"/>
                      <w:sz w:val="18"/>
                      <w:szCs w:val="18"/>
                      <w:lang w:val="en-US" w:eastAsia="zh-CN"/>
                    </w:rPr>
                  </w:pPr>
                </w:p>
              </w:tc>
              <w:tc>
                <w:tcPr>
                  <w:tcW w:w="1023" w:type="dxa"/>
                  <w:vMerge w:val="continue"/>
                  <w:vAlign w:val="center"/>
                </w:tcPr>
                <w:p>
                  <w:pPr>
                    <w:bidi w:val="0"/>
                    <w:jc w:val="center"/>
                    <w:rPr>
                      <w:rFonts w:hint="default" w:ascii="Times New Roman" w:hAnsi="Times New Roman" w:eastAsia="宋体" w:cs="Times New Roman"/>
                      <w:color w:val="auto"/>
                      <w:sz w:val="18"/>
                      <w:szCs w:val="18"/>
                      <w:lang w:val="en-US" w:eastAsia="zh-CN"/>
                    </w:rPr>
                  </w:pPr>
                </w:p>
              </w:tc>
              <w:tc>
                <w:tcPr>
                  <w:tcW w:w="886" w:type="dxa"/>
                  <w:vAlign w:val="center"/>
                </w:tcPr>
                <w:p>
                  <w:pPr>
                    <w:bidi w:val="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NO</w:t>
                  </w:r>
                  <w:r>
                    <w:rPr>
                      <w:rFonts w:hint="default" w:ascii="Times New Roman" w:hAnsi="Times New Roman" w:eastAsia="宋体" w:cs="Times New Roman"/>
                      <w:color w:val="auto"/>
                      <w:sz w:val="18"/>
                      <w:szCs w:val="18"/>
                      <w:vertAlign w:val="subscript"/>
                      <w:lang w:val="en-US" w:eastAsia="zh-CN"/>
                    </w:rPr>
                    <w:t>x</w:t>
                  </w:r>
                </w:p>
              </w:tc>
              <w:tc>
                <w:tcPr>
                  <w:tcW w:w="1289" w:type="dxa"/>
                  <w:vAlign w:val="center"/>
                </w:tcPr>
                <w:p>
                  <w:pPr>
                    <w:bidi w:val="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164</w:t>
                  </w:r>
                </w:p>
              </w:tc>
              <w:tc>
                <w:tcPr>
                  <w:tcW w:w="985" w:type="dxa"/>
                  <w:vAlign w:val="center"/>
                </w:tcPr>
                <w:p>
                  <w:pPr>
                    <w:bidi w:val="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1.18</w:t>
                  </w:r>
                </w:p>
              </w:tc>
              <w:tc>
                <w:tcPr>
                  <w:tcW w:w="985" w:type="dxa"/>
                  <w:vAlign w:val="center"/>
                </w:tcPr>
                <w:p>
                  <w:pPr>
                    <w:bidi w:val="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p>
              </w:tc>
              <w:tc>
                <w:tcPr>
                  <w:tcW w:w="986" w:type="dxa"/>
                  <w:vAlign w:val="center"/>
                </w:tcPr>
                <w:p>
                  <w:pPr>
                    <w:bidi w:val="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根据以上分析，项目区运营期非正常排放情况下，废气颗粒物处理效率按0%计，SO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lang w:val="en-US" w:eastAsia="zh-CN"/>
              </w:rPr>
              <w:t>、NO</w:t>
            </w:r>
            <w:r>
              <w:rPr>
                <w:rFonts w:hint="default" w:ascii="Times New Roman" w:hAnsi="Times New Roman" w:eastAsia="宋体" w:cs="Times New Roman"/>
                <w:color w:val="auto"/>
                <w:sz w:val="24"/>
                <w:szCs w:val="24"/>
                <w:vertAlign w:val="subscript"/>
                <w:lang w:val="en-US" w:eastAsia="zh-CN"/>
              </w:rPr>
              <w:t>x</w:t>
            </w:r>
            <w:r>
              <w:rPr>
                <w:rFonts w:hint="default" w:ascii="Times New Roman" w:hAnsi="Times New Roman" w:eastAsia="宋体" w:cs="Times New Roman"/>
                <w:color w:val="auto"/>
                <w:sz w:val="24"/>
                <w:szCs w:val="24"/>
                <w:lang w:val="en-US" w:eastAsia="zh-CN"/>
              </w:rPr>
              <w:t>的非正常排放浓度均低于《锅炉大气污染物排放标准》（GB13271-2014）中表2标准限值要求，对周围环境影响较小</w:t>
            </w:r>
            <w:r>
              <w:rPr>
                <w:rFonts w:hint="eastAsia" w:ascii="Times New Roman" w:hAnsi="Times New Roman" w:eastAsia="宋体" w:cs="Times New Roman"/>
                <w:color w:val="auto"/>
                <w:sz w:val="24"/>
                <w:szCs w:val="24"/>
                <w:lang w:val="en-US" w:eastAsia="zh-CN"/>
              </w:rPr>
              <w:t>；颗粒物的非正常排放浓度超过《锅炉大气污染物排放标准》（GB13271-2014）中表2标准限值要求，则水膜</w:t>
            </w:r>
            <w:r>
              <w:rPr>
                <w:rFonts w:hint="default" w:ascii="Times New Roman" w:hAnsi="Times New Roman" w:eastAsia="宋体" w:cs="Times New Roman"/>
                <w:color w:val="auto"/>
                <w:sz w:val="24"/>
                <w:szCs w:val="24"/>
                <w:lang w:val="en-US" w:eastAsia="zh-CN"/>
              </w:rPr>
              <w:t>除尘器设施故障时，应及时对设备及故障进行排查。项目运营期应加强检修、加强管理人员业务培训，规范操作。尽量避免非正常情况的发生。</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废气排放口设置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烟囱高度根据锅炉房装机容量确定，项目设置</w:t>
            </w:r>
            <w:r>
              <w:rPr>
                <w:rFonts w:hint="eastAsia" w:ascii="Times New Roman" w:hAnsi="Times New Roman" w:eastAsia="宋体" w:cs="Times New Roman"/>
                <w:color w:val="auto"/>
                <w:sz w:val="24"/>
                <w:szCs w:val="24"/>
                <w:lang w:val="en-US" w:eastAsia="zh-CN"/>
              </w:rPr>
              <w:t>2台2.5</w:t>
            </w:r>
            <w:r>
              <w:rPr>
                <w:rFonts w:hint="default" w:ascii="Times New Roman" w:hAnsi="Times New Roman" w:eastAsia="宋体" w:cs="Times New Roman"/>
                <w:color w:val="auto"/>
                <w:sz w:val="24"/>
                <w:szCs w:val="24"/>
                <w:lang w:val="en-US" w:eastAsia="zh-CN"/>
              </w:rPr>
              <w:t>t/h锅炉，装机总容量</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~&lt;</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t，烟囱最低允许高度为</w:t>
            </w:r>
            <w:r>
              <w:rPr>
                <w:rFonts w:hint="eastAsia" w:ascii="Times New Roman" w:hAnsi="Times New Roman" w:eastAsia="宋体" w:cs="Times New Roman"/>
                <w:color w:val="auto"/>
                <w:sz w:val="24"/>
                <w:szCs w:val="24"/>
                <w:lang w:val="en-US" w:eastAsia="zh-CN"/>
              </w:rPr>
              <w:t>30</w:t>
            </w:r>
            <w:r>
              <w:rPr>
                <w:rFonts w:hint="default" w:ascii="Times New Roman" w:hAnsi="Times New Roman" w:eastAsia="宋体" w:cs="Times New Roman"/>
                <w:color w:val="auto"/>
                <w:sz w:val="24"/>
                <w:szCs w:val="24"/>
                <w:lang w:val="en-US" w:eastAsia="zh-CN"/>
              </w:rPr>
              <w:t>m。项目燃烧生物质按照燃煤锅炉房烟囱最低允许高度表执行，项目锅炉房设置一个排气筒，则项目生物质锅炉设置</w:t>
            </w:r>
            <w:r>
              <w:rPr>
                <w:rFonts w:hint="eastAsia" w:ascii="Times New Roman" w:hAnsi="Times New Roman" w:eastAsia="宋体" w:cs="Times New Roman"/>
                <w:color w:val="auto"/>
                <w:sz w:val="24"/>
                <w:szCs w:val="24"/>
                <w:lang w:val="en-US" w:eastAsia="zh-CN"/>
              </w:rPr>
              <w:t>30</w:t>
            </w:r>
            <w:r>
              <w:rPr>
                <w:rFonts w:hint="default" w:ascii="Times New Roman" w:hAnsi="Times New Roman" w:eastAsia="宋体" w:cs="Times New Roman"/>
                <w:color w:val="auto"/>
                <w:sz w:val="24"/>
                <w:szCs w:val="24"/>
                <w:lang w:val="en-US" w:eastAsia="zh-CN"/>
              </w:rPr>
              <w:t>m高排气筒，废气排放口基本情况见下表；</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表4-5  废气排放口基本情况表</w:t>
            </w:r>
          </w:p>
          <w:tbl>
            <w:tblPr>
              <w:tblStyle w:val="7"/>
              <w:tblW w:w="7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845"/>
              <w:gridCol w:w="914"/>
              <w:gridCol w:w="1051"/>
              <w:gridCol w:w="640"/>
              <w:gridCol w:w="777"/>
              <w:gridCol w:w="832"/>
              <w:gridCol w:w="832"/>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restar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排放口编号</w:t>
                  </w:r>
                </w:p>
              </w:tc>
              <w:tc>
                <w:tcPr>
                  <w:tcW w:w="845" w:type="dxa"/>
                  <w:vMerge w:val="restar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排放口名称</w:t>
                  </w:r>
                </w:p>
              </w:tc>
              <w:tc>
                <w:tcPr>
                  <w:tcW w:w="1965" w:type="dxa"/>
                  <w:gridSpan w:val="2"/>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排放口地理坐标</w:t>
                  </w:r>
                </w:p>
              </w:tc>
              <w:tc>
                <w:tcPr>
                  <w:tcW w:w="640" w:type="dxa"/>
                  <w:vMerge w:val="restar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排放高度</w:t>
                  </w:r>
                </w:p>
              </w:tc>
              <w:tc>
                <w:tcPr>
                  <w:tcW w:w="777" w:type="dxa"/>
                  <w:vMerge w:val="restar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排气筒内径</w:t>
                  </w:r>
                </w:p>
              </w:tc>
              <w:tc>
                <w:tcPr>
                  <w:tcW w:w="832" w:type="dxa"/>
                  <w:vMerge w:val="restar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排放口类型</w:t>
                  </w:r>
                </w:p>
              </w:tc>
              <w:tc>
                <w:tcPr>
                  <w:tcW w:w="832" w:type="dxa"/>
                  <w:vMerge w:val="restar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污染治理设施</w:t>
                  </w:r>
                </w:p>
              </w:tc>
              <w:tc>
                <w:tcPr>
                  <w:tcW w:w="1299" w:type="dxa"/>
                  <w:vMerge w:val="restart"/>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废气排放执行标准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Merge w:val="continue"/>
                  <w:vAlign w:val="center"/>
                </w:tcPr>
                <w:p>
                  <w:pPr>
                    <w:bidi w:val="0"/>
                    <w:jc w:val="center"/>
                    <w:rPr>
                      <w:rFonts w:hint="default" w:ascii="Times New Roman" w:hAnsi="Times New Roman" w:eastAsia="宋体" w:cs="Times New Roman"/>
                      <w:color w:val="auto"/>
                      <w:sz w:val="21"/>
                      <w:szCs w:val="21"/>
                      <w:lang w:val="en-US" w:eastAsia="zh-CN"/>
                    </w:rPr>
                  </w:pPr>
                </w:p>
              </w:tc>
              <w:tc>
                <w:tcPr>
                  <w:tcW w:w="845" w:type="dxa"/>
                  <w:vMerge w:val="continue"/>
                  <w:vAlign w:val="center"/>
                </w:tcPr>
                <w:p>
                  <w:pPr>
                    <w:bidi w:val="0"/>
                    <w:jc w:val="center"/>
                    <w:rPr>
                      <w:rFonts w:hint="default" w:ascii="Times New Roman" w:hAnsi="Times New Roman" w:eastAsia="宋体" w:cs="Times New Roman"/>
                      <w:color w:val="auto"/>
                      <w:sz w:val="21"/>
                      <w:szCs w:val="21"/>
                      <w:lang w:val="en-US" w:eastAsia="zh-CN"/>
                    </w:rPr>
                  </w:pPr>
                </w:p>
              </w:tc>
              <w:tc>
                <w:tcPr>
                  <w:tcW w:w="914"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经度</w:t>
                  </w:r>
                </w:p>
              </w:tc>
              <w:tc>
                <w:tcPr>
                  <w:tcW w:w="1051"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纬度</w:t>
                  </w:r>
                </w:p>
              </w:tc>
              <w:tc>
                <w:tcPr>
                  <w:tcW w:w="640" w:type="dxa"/>
                  <w:vMerge w:val="continue"/>
                  <w:vAlign w:val="center"/>
                </w:tcPr>
                <w:p>
                  <w:pPr>
                    <w:bidi w:val="0"/>
                    <w:jc w:val="center"/>
                    <w:rPr>
                      <w:rFonts w:hint="default" w:ascii="Times New Roman" w:hAnsi="Times New Roman" w:eastAsia="宋体" w:cs="Times New Roman"/>
                      <w:color w:val="auto"/>
                      <w:sz w:val="21"/>
                      <w:szCs w:val="21"/>
                      <w:lang w:val="en-US" w:eastAsia="zh-CN"/>
                    </w:rPr>
                  </w:pPr>
                </w:p>
              </w:tc>
              <w:tc>
                <w:tcPr>
                  <w:tcW w:w="777" w:type="dxa"/>
                  <w:vMerge w:val="continue"/>
                  <w:vAlign w:val="center"/>
                </w:tcPr>
                <w:p>
                  <w:pPr>
                    <w:bidi w:val="0"/>
                    <w:jc w:val="center"/>
                    <w:rPr>
                      <w:rFonts w:hint="default" w:ascii="Times New Roman" w:hAnsi="Times New Roman" w:eastAsia="宋体" w:cs="Times New Roman"/>
                      <w:color w:val="auto"/>
                      <w:sz w:val="21"/>
                      <w:szCs w:val="21"/>
                      <w:lang w:val="en-US" w:eastAsia="zh-CN"/>
                    </w:rPr>
                  </w:pPr>
                </w:p>
              </w:tc>
              <w:tc>
                <w:tcPr>
                  <w:tcW w:w="832" w:type="dxa"/>
                  <w:vMerge w:val="continue"/>
                  <w:vAlign w:val="center"/>
                </w:tcPr>
                <w:p>
                  <w:pPr>
                    <w:bidi w:val="0"/>
                    <w:jc w:val="center"/>
                    <w:rPr>
                      <w:rFonts w:hint="default" w:ascii="Times New Roman" w:hAnsi="Times New Roman" w:eastAsia="宋体" w:cs="Times New Roman"/>
                      <w:color w:val="auto"/>
                      <w:sz w:val="21"/>
                      <w:szCs w:val="21"/>
                      <w:lang w:val="en-US" w:eastAsia="zh-CN"/>
                    </w:rPr>
                  </w:pPr>
                </w:p>
              </w:tc>
              <w:tc>
                <w:tcPr>
                  <w:tcW w:w="832" w:type="dxa"/>
                  <w:vMerge w:val="continue"/>
                  <w:vAlign w:val="center"/>
                </w:tcPr>
                <w:p>
                  <w:pPr>
                    <w:bidi w:val="0"/>
                    <w:jc w:val="center"/>
                    <w:rPr>
                      <w:rFonts w:hint="default" w:ascii="Times New Roman" w:hAnsi="Times New Roman" w:eastAsia="宋体" w:cs="Times New Roman"/>
                      <w:color w:val="auto"/>
                      <w:sz w:val="21"/>
                      <w:szCs w:val="21"/>
                      <w:lang w:val="en-US" w:eastAsia="zh-CN"/>
                    </w:rPr>
                  </w:pPr>
                </w:p>
              </w:tc>
              <w:tc>
                <w:tcPr>
                  <w:tcW w:w="1299" w:type="dxa"/>
                  <w:vMerge w:val="continue"/>
                  <w:vAlign w:val="center"/>
                </w:tcPr>
                <w:p>
                  <w:pPr>
                    <w:bidi w:val="0"/>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DA001</w:t>
                  </w:r>
                </w:p>
              </w:tc>
              <w:tc>
                <w:tcPr>
                  <w:tcW w:w="845"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锅炉排放口</w:t>
                  </w:r>
                </w:p>
              </w:tc>
              <w:tc>
                <w:tcPr>
                  <w:tcW w:w="914"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100.00335217</w:t>
                  </w:r>
                </w:p>
              </w:tc>
              <w:tc>
                <w:tcPr>
                  <w:tcW w:w="1051"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26.28728767</w:t>
                  </w:r>
                </w:p>
              </w:tc>
              <w:tc>
                <w:tcPr>
                  <w:tcW w:w="640"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30m</w:t>
                  </w:r>
                </w:p>
              </w:tc>
              <w:tc>
                <w:tcPr>
                  <w:tcW w:w="77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30cm</w:t>
                  </w:r>
                </w:p>
              </w:tc>
              <w:tc>
                <w:tcPr>
                  <w:tcW w:w="832"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一般排放口</w:t>
                  </w:r>
                </w:p>
              </w:tc>
              <w:tc>
                <w:tcPr>
                  <w:tcW w:w="832"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水膜除尘器</w:t>
                  </w:r>
                </w:p>
              </w:tc>
              <w:tc>
                <w:tcPr>
                  <w:tcW w:w="1299"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《锅炉大气污染物排放标准》（GB13271-2014）表2标准</w:t>
                  </w:r>
                </w:p>
              </w:tc>
            </w:tr>
          </w:tbl>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废气治理措施可行性分析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废气处理设施为水膜除尘器，根据《工业锅炉污染防治可行技术指南》（HJ1178-2021），烟气污染治理技术，燃生物质成型燃料锅炉宜采用机械除尘+袋式除尘技术实现颗粒物达标排放。氮氧化物排放控制宜优先采用低氮燃烧技术。</w:t>
            </w:r>
            <w:r>
              <w:rPr>
                <w:rFonts w:hint="default" w:ascii="Times New Roman" w:hAnsi="Times New Roman" w:eastAsia="宋体" w:cs="Times New Roman"/>
                <w:color w:val="auto"/>
                <w:sz w:val="24"/>
                <w:szCs w:val="24"/>
                <w:lang w:val="en-US" w:eastAsia="zh-CN"/>
              </w:rPr>
              <w:t>项目虽未采取以上技术，采用水膜除尘设施，但项目产生的废气经水膜除尘设施处理后，颗粒物能达标排放，</w:t>
            </w:r>
            <w:r>
              <w:rPr>
                <w:rFonts w:hint="eastAsia" w:ascii="Times New Roman" w:hAnsi="Times New Roman" w:eastAsia="宋体" w:cs="Times New Roman"/>
                <w:color w:val="auto"/>
                <w:sz w:val="24"/>
                <w:szCs w:val="24"/>
                <w:lang w:val="en-US" w:eastAsia="zh-CN"/>
              </w:rPr>
              <w:t>二氧化硫、氮氧化物不经处理也可达标排放，</w:t>
            </w:r>
            <w:r>
              <w:rPr>
                <w:rFonts w:hint="default" w:ascii="Times New Roman" w:hAnsi="Times New Roman" w:eastAsia="宋体" w:cs="Times New Roman"/>
                <w:color w:val="auto"/>
                <w:sz w:val="24"/>
                <w:szCs w:val="24"/>
                <w:lang w:val="en-US" w:eastAsia="zh-CN"/>
              </w:rPr>
              <w:t>故项目废气治理措施可行。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2、</w:t>
            </w:r>
            <w:r>
              <w:rPr>
                <w:rFonts w:hint="default" w:ascii="Times New Roman" w:hAnsi="Times New Roman" w:eastAsia="宋体" w:cs="Times New Roman"/>
                <w:color w:val="auto"/>
                <w:sz w:val="24"/>
                <w:szCs w:val="24"/>
                <w:lang w:val="en-US" w:eastAsia="zh-CN"/>
              </w:rPr>
              <w:t>大气环境影响分析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项目废气主要为生物质蒸汽锅炉产生的烟尘、二氧化硫、氮氧化物，项目采用</w:t>
            </w:r>
            <w:r>
              <w:rPr>
                <w:rFonts w:hint="eastAsia" w:ascii="Times New Roman" w:hAnsi="Times New Roman" w:eastAsia="宋体" w:cs="Times New Roman"/>
                <w:color w:val="auto"/>
                <w:sz w:val="24"/>
                <w:szCs w:val="24"/>
                <w:lang w:val="en-US" w:eastAsia="zh-CN"/>
              </w:rPr>
              <w:t>水膜</w:t>
            </w:r>
            <w:r>
              <w:rPr>
                <w:rFonts w:hint="default" w:ascii="Times New Roman" w:hAnsi="Times New Roman" w:eastAsia="宋体" w:cs="Times New Roman"/>
                <w:color w:val="auto"/>
                <w:sz w:val="24"/>
                <w:szCs w:val="24"/>
                <w:lang w:val="en-US" w:eastAsia="zh-CN"/>
              </w:rPr>
              <w:t>除尘器进行除尘，项目产生的废气呈有组织排放。经核算，项目产生的烟尘、二氧化硫、氮氧化物经</w:t>
            </w:r>
            <w:r>
              <w:rPr>
                <w:rFonts w:hint="eastAsia" w:ascii="Times New Roman" w:hAnsi="Times New Roman" w:eastAsia="宋体" w:cs="Times New Roman"/>
                <w:color w:val="auto"/>
                <w:sz w:val="24"/>
                <w:szCs w:val="24"/>
                <w:lang w:val="en-US" w:eastAsia="zh-CN"/>
              </w:rPr>
              <w:t>水膜</w:t>
            </w:r>
            <w:r>
              <w:rPr>
                <w:rFonts w:hint="default" w:ascii="Times New Roman" w:hAnsi="Times New Roman" w:eastAsia="宋体" w:cs="Times New Roman"/>
                <w:color w:val="auto"/>
                <w:sz w:val="24"/>
                <w:szCs w:val="24"/>
                <w:lang w:val="en-US" w:eastAsia="zh-CN"/>
              </w:rPr>
              <w:t>除尘器处理后，</w:t>
            </w:r>
            <w:r>
              <w:rPr>
                <w:rFonts w:hint="eastAsia" w:ascii="Times New Roman" w:hAnsi="Times New Roman" w:eastAsia="宋体" w:cs="Times New Roman"/>
                <w:color w:val="auto"/>
                <w:sz w:val="24"/>
                <w:szCs w:val="24"/>
                <w:lang w:val="en-US" w:eastAsia="zh-CN"/>
              </w:rPr>
              <w:t>均</w:t>
            </w:r>
            <w:r>
              <w:rPr>
                <w:rFonts w:hint="default" w:ascii="Times New Roman" w:hAnsi="Times New Roman" w:eastAsia="宋体" w:cs="Times New Roman"/>
                <w:color w:val="auto"/>
                <w:sz w:val="24"/>
                <w:szCs w:val="24"/>
                <w:lang w:val="en-US" w:eastAsia="zh-CN"/>
              </w:rPr>
              <w:t>能达到《锅炉大气污染物排放标准》（GB13271-2014）中表2标准，对周围环境影响较小。项目区周边有零星居民，为敏感点。项目正常排放情况下颗粒物、二氧化硫、氮氧化物的排放浓度均低于《锅炉大气污染物排放标准》（GB13271-2014）中表2标准限值要求，不会对敏感点造成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无组织废气主要为化粪池恶臭，项目污水主要以洗涤废水为主，有机污染物含量较低，且项目将化粪池进行封闭处理，在运营过程中产生的恶臭不明显，且适当喷洒除臭剂，则化粪池产生的恶臭对周边环境影响较小。</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废水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1、</w:t>
            </w:r>
            <w:r>
              <w:rPr>
                <w:rFonts w:hint="default" w:ascii="Times New Roman" w:hAnsi="Times New Roman" w:eastAsia="宋体" w:cs="Times New Roman"/>
                <w:color w:val="auto"/>
                <w:sz w:val="24"/>
                <w:szCs w:val="24"/>
                <w:lang w:val="en-US" w:eastAsia="zh-CN"/>
              </w:rPr>
              <w:t>废水源强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项目运营期产生的废水主要是生活污水、洗涤废水、锅炉废水及软水制备浓水。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生活用水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项目运营期员工有</w:t>
            </w:r>
            <w:r>
              <w:rPr>
                <w:rFonts w:hint="eastAsia" w:ascii="Times New Roman" w:hAnsi="Times New Roman" w:eastAsia="宋体"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人，</w:t>
            </w:r>
            <w:r>
              <w:rPr>
                <w:rFonts w:hint="eastAsia" w:ascii="Times New Roman" w:hAnsi="Times New Roman" w:eastAsia="宋体" w:cs="Times New Roman"/>
                <w:color w:val="auto"/>
                <w:sz w:val="24"/>
                <w:szCs w:val="24"/>
                <w:lang w:val="en-US" w:eastAsia="zh-CN"/>
              </w:rPr>
              <w:t>项目职工均为周边务工人员，不在项目区食宿，只有值班人员在项目区食宿，</w:t>
            </w:r>
            <w:r>
              <w:rPr>
                <w:rFonts w:hint="default" w:ascii="Times New Roman" w:hAnsi="Times New Roman" w:eastAsia="宋体" w:cs="Times New Roman"/>
                <w:color w:val="auto"/>
                <w:sz w:val="24"/>
                <w:szCs w:val="24"/>
                <w:lang w:val="en-US" w:eastAsia="zh-CN"/>
              </w:rPr>
              <w:t>项目</w:t>
            </w:r>
            <w:r>
              <w:rPr>
                <w:rFonts w:hint="eastAsia" w:ascii="Times New Roman" w:hAnsi="Times New Roman" w:eastAsia="宋体" w:cs="Times New Roman"/>
                <w:color w:val="auto"/>
                <w:sz w:val="24"/>
                <w:szCs w:val="24"/>
                <w:lang w:val="en-US" w:eastAsia="zh-CN"/>
              </w:rPr>
              <w:t>值班人员约2人</w:t>
            </w:r>
            <w:r>
              <w:rPr>
                <w:rFonts w:hint="default" w:ascii="Times New Roman" w:hAnsi="Times New Roman" w:eastAsia="宋体" w:cs="Times New Roman"/>
                <w:color w:val="auto"/>
                <w:sz w:val="24"/>
                <w:szCs w:val="24"/>
                <w:lang w:val="en-US" w:eastAsia="zh-CN"/>
              </w:rPr>
              <w:t>。项目年工作3</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0天，根据《云南省地方标准用水定额》（DB53/T168-2019），项目不</w:t>
            </w:r>
            <w:r>
              <w:rPr>
                <w:rFonts w:hint="eastAsia" w:ascii="Times New Roman" w:hAnsi="Times New Roman" w:eastAsia="宋体" w:cs="Times New Roman"/>
                <w:color w:val="auto"/>
                <w:sz w:val="24"/>
                <w:szCs w:val="24"/>
                <w:lang w:val="en-US" w:eastAsia="zh-CN"/>
              </w:rPr>
              <w:t>食</w:t>
            </w:r>
            <w:r>
              <w:rPr>
                <w:rFonts w:hint="default" w:ascii="Times New Roman" w:hAnsi="Times New Roman" w:eastAsia="宋体" w:cs="Times New Roman"/>
                <w:color w:val="auto"/>
                <w:sz w:val="24"/>
                <w:szCs w:val="24"/>
                <w:lang w:val="en-US" w:eastAsia="zh-CN"/>
              </w:rPr>
              <w:t>宿员工用水定额按</w:t>
            </w: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0L/人*d计，则此部分用水量为</w:t>
            </w:r>
            <w:r>
              <w:rPr>
                <w:rFonts w:hint="eastAsia" w:ascii="Times New Roman" w:hAnsi="Times New Roman" w:eastAsia="宋体" w:cs="Times New Roman"/>
                <w:color w:val="auto"/>
                <w:sz w:val="24"/>
                <w:szCs w:val="24"/>
                <w:lang w:val="en-US" w:eastAsia="zh-CN"/>
              </w:rPr>
              <w:t>0.78</w:t>
            </w:r>
            <w:r>
              <w:rPr>
                <w:rFonts w:hint="default" w:ascii="Times New Roman" w:hAnsi="Times New Roman" w:eastAsia="宋体" w:cs="Times New Roman"/>
                <w:color w:val="auto"/>
                <w:sz w:val="24"/>
                <w:szCs w:val="24"/>
                <w:lang w:val="en-US" w:eastAsia="zh-CN"/>
              </w:rPr>
              <w:t>m³/d，</w:t>
            </w:r>
            <w:r>
              <w:rPr>
                <w:rFonts w:hint="eastAsia" w:ascii="Times New Roman" w:hAnsi="Times New Roman" w:eastAsia="宋体" w:cs="Times New Roman"/>
                <w:color w:val="auto"/>
                <w:sz w:val="24"/>
                <w:szCs w:val="24"/>
                <w:lang w:val="en-US" w:eastAsia="zh-CN"/>
              </w:rPr>
              <w:t>280.8</w:t>
            </w:r>
            <w:r>
              <w:rPr>
                <w:rFonts w:hint="default" w:ascii="Times New Roman" w:hAnsi="Times New Roman" w:eastAsia="宋体" w:cs="Times New Roman"/>
                <w:color w:val="auto"/>
                <w:sz w:val="24"/>
                <w:szCs w:val="24"/>
                <w:lang w:val="en-US" w:eastAsia="zh-CN"/>
              </w:rPr>
              <w:t>m³/a，</w:t>
            </w:r>
            <w:r>
              <w:rPr>
                <w:rFonts w:hint="eastAsia" w:ascii="Times New Roman" w:hAnsi="Times New Roman" w:eastAsia="宋体" w:cs="Times New Roman"/>
                <w:color w:val="auto"/>
                <w:sz w:val="24"/>
                <w:szCs w:val="24"/>
                <w:lang w:val="en-US" w:eastAsia="zh-CN"/>
              </w:rPr>
              <w:t>值班</w:t>
            </w:r>
            <w:r>
              <w:rPr>
                <w:rFonts w:hint="default" w:ascii="Times New Roman" w:hAnsi="Times New Roman" w:eastAsia="宋体" w:cs="Times New Roman"/>
                <w:color w:val="auto"/>
                <w:sz w:val="24"/>
                <w:szCs w:val="24"/>
                <w:lang w:val="en-US" w:eastAsia="zh-CN"/>
              </w:rPr>
              <w:t>员工用水定额按</w:t>
            </w:r>
            <w:r>
              <w:rPr>
                <w:rFonts w:hint="eastAsia" w:ascii="Times New Roman" w:hAnsi="Times New Roman" w:eastAsia="宋体" w:cs="Times New Roman"/>
                <w:color w:val="auto"/>
                <w:sz w:val="24"/>
                <w:szCs w:val="24"/>
                <w:lang w:val="en-US" w:eastAsia="zh-CN"/>
              </w:rPr>
              <w:t>100</w:t>
            </w:r>
            <w:r>
              <w:rPr>
                <w:rFonts w:hint="default" w:ascii="Times New Roman" w:hAnsi="Times New Roman" w:eastAsia="宋体" w:cs="Times New Roman"/>
                <w:color w:val="auto"/>
                <w:sz w:val="24"/>
                <w:szCs w:val="24"/>
                <w:lang w:val="en-US" w:eastAsia="zh-CN"/>
              </w:rPr>
              <w:t>L/人*d计，则此部分用水量为</w:t>
            </w:r>
            <w:r>
              <w:rPr>
                <w:rFonts w:hint="eastAsia" w:ascii="Times New Roman" w:hAnsi="Times New Roman" w:eastAsia="宋体" w:cs="Times New Roman"/>
                <w:color w:val="auto"/>
                <w:sz w:val="24"/>
                <w:szCs w:val="24"/>
                <w:lang w:val="en-US" w:eastAsia="zh-CN"/>
              </w:rPr>
              <w:t>0.2</w:t>
            </w:r>
            <w:r>
              <w:rPr>
                <w:rFonts w:hint="default" w:ascii="Times New Roman" w:hAnsi="Times New Roman" w:eastAsia="宋体" w:cs="Times New Roman"/>
                <w:color w:val="auto"/>
                <w:sz w:val="24"/>
                <w:szCs w:val="24"/>
                <w:lang w:val="en-US" w:eastAsia="zh-CN"/>
              </w:rPr>
              <w:t>m³/d，</w:t>
            </w:r>
            <w:r>
              <w:rPr>
                <w:rFonts w:hint="eastAsia" w:ascii="Times New Roman" w:hAnsi="Times New Roman" w:eastAsia="宋体" w:cs="Times New Roman"/>
                <w:color w:val="auto"/>
                <w:sz w:val="24"/>
                <w:szCs w:val="24"/>
                <w:lang w:val="en-US" w:eastAsia="zh-CN"/>
              </w:rPr>
              <w:t>72</w:t>
            </w:r>
            <w:r>
              <w:rPr>
                <w:rFonts w:hint="default" w:ascii="Times New Roman" w:hAnsi="Times New Roman" w:eastAsia="宋体" w:cs="Times New Roman"/>
                <w:color w:val="auto"/>
                <w:sz w:val="24"/>
                <w:szCs w:val="24"/>
                <w:lang w:val="en-US" w:eastAsia="zh-CN"/>
              </w:rPr>
              <w:t>m³/a，总用水量为</w:t>
            </w:r>
            <w:r>
              <w:rPr>
                <w:rFonts w:hint="eastAsia" w:ascii="Times New Roman" w:hAnsi="Times New Roman" w:eastAsia="宋体" w:cs="Times New Roman"/>
                <w:color w:val="auto"/>
                <w:sz w:val="24"/>
                <w:szCs w:val="24"/>
                <w:lang w:val="en-US" w:eastAsia="zh-CN"/>
              </w:rPr>
              <w:t>0.98</w:t>
            </w:r>
            <w:r>
              <w:rPr>
                <w:rFonts w:hint="default" w:ascii="Times New Roman" w:hAnsi="Times New Roman" w:eastAsia="宋体" w:cs="Times New Roman"/>
                <w:color w:val="auto"/>
                <w:sz w:val="24"/>
                <w:szCs w:val="24"/>
                <w:lang w:val="en-US" w:eastAsia="zh-CN"/>
              </w:rPr>
              <w:t>m³/d，</w:t>
            </w:r>
            <w:r>
              <w:rPr>
                <w:rFonts w:hint="eastAsia" w:ascii="Times New Roman" w:hAnsi="Times New Roman" w:eastAsia="宋体" w:cs="Times New Roman"/>
                <w:color w:val="auto"/>
                <w:sz w:val="24"/>
                <w:szCs w:val="24"/>
                <w:lang w:val="en-US" w:eastAsia="zh-CN"/>
              </w:rPr>
              <w:t>352.8</w:t>
            </w:r>
            <w:r>
              <w:rPr>
                <w:rFonts w:hint="default" w:ascii="Times New Roman" w:hAnsi="Times New Roman" w:eastAsia="宋体" w:cs="Times New Roman"/>
                <w:color w:val="auto"/>
                <w:sz w:val="24"/>
                <w:szCs w:val="24"/>
                <w:lang w:val="en-US" w:eastAsia="zh-CN"/>
              </w:rPr>
              <w:t>m³/a；以80%产污系数计，则污水的产生量为</w:t>
            </w:r>
            <w:r>
              <w:rPr>
                <w:rFonts w:hint="eastAsia" w:ascii="Times New Roman" w:hAnsi="Times New Roman" w:eastAsia="宋体" w:cs="Times New Roman"/>
                <w:color w:val="auto"/>
                <w:sz w:val="24"/>
                <w:szCs w:val="24"/>
                <w:lang w:val="en-US" w:eastAsia="zh-CN"/>
              </w:rPr>
              <w:t>0.784</w:t>
            </w:r>
            <w:r>
              <w:rPr>
                <w:rFonts w:hint="default" w:ascii="Times New Roman" w:hAnsi="Times New Roman" w:eastAsia="宋体" w:cs="Times New Roman"/>
                <w:color w:val="auto"/>
                <w:sz w:val="24"/>
                <w:szCs w:val="24"/>
                <w:lang w:val="en-US" w:eastAsia="zh-CN"/>
              </w:rPr>
              <w:t>m³/d，</w:t>
            </w:r>
            <w:r>
              <w:rPr>
                <w:rFonts w:hint="eastAsia" w:ascii="Times New Roman" w:hAnsi="Times New Roman" w:eastAsia="宋体" w:cs="Times New Roman"/>
                <w:color w:val="auto"/>
                <w:sz w:val="24"/>
                <w:szCs w:val="24"/>
                <w:lang w:val="en-US" w:eastAsia="zh-CN"/>
              </w:rPr>
              <w:t>282.24</w:t>
            </w:r>
            <w:r>
              <w:rPr>
                <w:rFonts w:hint="default" w:ascii="Times New Roman" w:hAnsi="Times New Roman" w:eastAsia="宋体" w:cs="Times New Roman"/>
                <w:color w:val="auto"/>
                <w:sz w:val="24"/>
                <w:szCs w:val="24"/>
                <w:lang w:val="en-US" w:eastAsia="zh-CN"/>
              </w:rPr>
              <w:t>m³/a。</w:t>
            </w:r>
            <w:r>
              <w:rPr>
                <w:rFonts w:hint="eastAsia" w:ascii="Times New Roman" w:hAnsi="Times New Roman" w:eastAsia="宋体" w:cs="Times New Roman"/>
                <w:color w:val="auto"/>
                <w:sz w:val="24"/>
                <w:szCs w:val="24"/>
                <w:lang w:val="en-US" w:eastAsia="zh-CN"/>
              </w:rPr>
              <w:t>项目区生活污水经化粪池处理达标后</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排入市政污水管网，最终进入牛街乡污水处理厂</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生产用水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项目运营期生产用水主要是洗涤用水、锅炉用水、</w:t>
            </w:r>
            <w:r>
              <w:rPr>
                <w:rFonts w:hint="eastAsia" w:ascii="Times New Roman" w:hAnsi="Times New Roman" w:eastAsia="宋体" w:cs="Times New Roman"/>
                <w:color w:val="auto"/>
                <w:sz w:val="24"/>
                <w:szCs w:val="24"/>
                <w:lang w:val="en-US" w:eastAsia="zh-CN"/>
              </w:rPr>
              <w:t>除尘用水、</w:t>
            </w:r>
            <w:r>
              <w:rPr>
                <w:rFonts w:hint="default" w:ascii="Times New Roman" w:hAnsi="Times New Roman" w:eastAsia="宋体" w:cs="Times New Roman"/>
                <w:color w:val="auto"/>
                <w:sz w:val="24"/>
                <w:szCs w:val="24"/>
                <w:lang w:val="en-US" w:eastAsia="zh-CN"/>
              </w:rPr>
              <w:t>软水制备。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1）</w:t>
            </w:r>
            <w:r>
              <w:rPr>
                <w:rFonts w:hint="default" w:ascii="Times New Roman" w:hAnsi="Times New Roman" w:eastAsia="宋体" w:cs="Times New Roman"/>
                <w:color w:val="auto"/>
                <w:sz w:val="24"/>
                <w:szCs w:val="24"/>
                <w:lang w:val="en-US" w:eastAsia="zh-CN"/>
              </w:rPr>
              <w:t>洗涤用水及废水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经向建设单位咨询了解运营经验，项目洗涤1500套/d布草时，洗涤用水量为52.2m³/d，18792m³/a；废水产生量按用水量的90%计算，项目废水产生量约为47m³/d，16920m³/a；若项目洗涤2500套/d布草时，洗涤用水量约为87m³/d，31320m³/a；废水产生量约为78.3m³/d，28188m³/a。</w:t>
            </w:r>
            <w:r>
              <w:rPr>
                <w:rFonts w:hint="default" w:ascii="Times New Roman" w:hAnsi="Times New Roman" w:eastAsia="宋体" w:cs="Times New Roman"/>
                <w:color w:val="auto"/>
                <w:sz w:val="24"/>
                <w:szCs w:val="24"/>
                <w:lang w:val="en-US" w:eastAsia="zh-CN"/>
              </w:rPr>
              <w:t>洗涤用水</w:t>
            </w:r>
            <w:r>
              <w:rPr>
                <w:rFonts w:hint="eastAsia" w:ascii="Times New Roman" w:hAnsi="Times New Roman" w:eastAsia="宋体" w:cs="Times New Roman"/>
                <w:color w:val="auto"/>
                <w:sz w:val="24"/>
                <w:szCs w:val="24"/>
                <w:lang w:val="en-US" w:eastAsia="zh-CN"/>
              </w:rPr>
              <w:t>均由山箐水供给</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2）</w:t>
            </w:r>
            <w:r>
              <w:rPr>
                <w:rFonts w:hint="default" w:ascii="Times New Roman" w:hAnsi="Times New Roman" w:eastAsia="宋体" w:cs="Times New Roman"/>
                <w:color w:val="auto"/>
                <w:sz w:val="24"/>
                <w:szCs w:val="24"/>
                <w:lang w:val="en-US" w:eastAsia="zh-CN"/>
              </w:rPr>
              <w:t>锅炉</w:t>
            </w:r>
            <w:r>
              <w:rPr>
                <w:rFonts w:hint="eastAsia" w:ascii="Times New Roman" w:hAnsi="Times New Roman" w:eastAsia="宋体" w:cs="Times New Roman"/>
                <w:color w:val="auto"/>
                <w:sz w:val="24"/>
                <w:szCs w:val="24"/>
                <w:lang w:val="en-US" w:eastAsia="zh-CN"/>
              </w:rPr>
              <w:t>、软水制备</w:t>
            </w:r>
            <w:r>
              <w:rPr>
                <w:rFonts w:hint="default" w:ascii="Times New Roman" w:hAnsi="Times New Roman" w:eastAsia="宋体" w:cs="Times New Roman"/>
                <w:color w:val="auto"/>
                <w:sz w:val="24"/>
                <w:szCs w:val="24"/>
                <w:lang w:val="en-US" w:eastAsia="zh-CN"/>
              </w:rPr>
              <w:t>用水及废水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项目使用生物质锅炉，项目运营期锅炉数量为</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台，额定蒸发量为</w:t>
            </w:r>
            <w:r>
              <w:rPr>
                <w:rFonts w:hint="eastAsia" w:ascii="Times New Roman" w:hAnsi="Times New Roman" w:eastAsia="宋体" w:cs="Times New Roman"/>
                <w:color w:val="auto"/>
                <w:sz w:val="24"/>
                <w:szCs w:val="24"/>
                <w:lang w:val="en-US" w:eastAsia="zh-CN"/>
              </w:rPr>
              <w:t>2.5</w:t>
            </w:r>
            <w:r>
              <w:rPr>
                <w:rFonts w:hint="default" w:ascii="Times New Roman" w:hAnsi="Times New Roman" w:eastAsia="宋体" w:cs="Times New Roman"/>
                <w:color w:val="auto"/>
                <w:sz w:val="24"/>
                <w:szCs w:val="24"/>
                <w:lang w:val="en-US" w:eastAsia="zh-CN"/>
              </w:rPr>
              <w:t>t/h</w:t>
            </w:r>
            <w:r>
              <w:rPr>
                <w:rFonts w:hint="eastAsia" w:ascii="Times New Roman" w:hAnsi="Times New Roman" w:eastAsia="宋体" w:cs="Times New Roman"/>
                <w:color w:val="auto"/>
                <w:sz w:val="24"/>
                <w:szCs w:val="24"/>
                <w:lang w:val="en-US" w:eastAsia="zh-CN"/>
              </w:rPr>
              <w:t>，生物质锅炉为一备一用</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经咨询建设单位运营经验，每天洗涤2小时后，再开启锅炉进行烘干作业，锅炉每天运行8小时</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FF"/>
                <w:sz w:val="24"/>
                <w:szCs w:val="24"/>
                <w:lang w:val="en-US" w:eastAsia="zh-CN"/>
              </w:rPr>
            </w:pPr>
            <w:r>
              <w:rPr>
                <w:rFonts w:hint="default" w:ascii="Times New Roman" w:hAnsi="Times New Roman" w:eastAsia="宋体" w:cs="Times New Roman"/>
                <w:color w:val="auto"/>
                <w:sz w:val="24"/>
                <w:szCs w:val="24"/>
                <w:lang w:val="en-US" w:eastAsia="zh-CN"/>
              </w:rPr>
              <w:t>由于原水不能直接进入锅炉，所以进入锅炉的水需先软化，本项目设置水净化处理间，且锅炉配置纯水系统，</w:t>
            </w:r>
            <w:r>
              <w:rPr>
                <w:rFonts w:hint="eastAsia" w:ascii="Times New Roman" w:hAnsi="Times New Roman" w:eastAsia="宋体" w:cs="Times New Roman"/>
                <w:color w:val="auto"/>
                <w:sz w:val="24"/>
                <w:szCs w:val="24"/>
                <w:lang w:val="en-US" w:eastAsia="zh-CN"/>
              </w:rPr>
              <w:t>项目锅炉为2.5t/h两台（一用一备）。则锅炉用水量为2.5t/h，锅炉每日运行时间为8h，则用水量为20t/d，7200t/a。根据《排放源统计调查产排污核算方法和系数手册 》（2021年版）4430工业锅炉（热力生产和供应行业）产污系数；</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w:t>
            </w:r>
            <w:r>
              <w:rPr>
                <w:rFonts w:hint="eastAsia" w:ascii="Times New Roman" w:hAnsi="Times New Roman" w:eastAsia="宋体" w:cs="Times New Roman"/>
                <w:b/>
                <w:bCs/>
                <w:color w:val="auto"/>
                <w:sz w:val="21"/>
                <w:szCs w:val="21"/>
                <w:lang w:val="en-US" w:eastAsia="zh-CN"/>
              </w:rPr>
              <w:t>4-6</w:t>
            </w:r>
            <w:r>
              <w:rPr>
                <w:rFonts w:hint="default" w:ascii="Times New Roman" w:hAnsi="Times New Roman" w:eastAsia="宋体" w:cs="Times New Roman"/>
                <w:b/>
                <w:bCs/>
                <w:color w:val="auto"/>
                <w:sz w:val="21"/>
                <w:szCs w:val="21"/>
                <w:lang w:val="en-US" w:eastAsia="zh-CN"/>
              </w:rPr>
              <w:t xml:space="preserve">  产污系数表</w:t>
            </w:r>
          </w:p>
          <w:tbl>
            <w:tblPr>
              <w:tblStyle w:val="7"/>
              <w:tblW w:w="7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735"/>
              <w:gridCol w:w="690"/>
              <w:gridCol w:w="660"/>
              <w:gridCol w:w="885"/>
              <w:gridCol w:w="855"/>
              <w:gridCol w:w="1530"/>
              <w:gridCol w:w="94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7"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产品名称</w:t>
                  </w:r>
                </w:p>
              </w:tc>
              <w:tc>
                <w:tcPr>
                  <w:tcW w:w="735"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原料名称</w:t>
                  </w:r>
                </w:p>
              </w:tc>
              <w:tc>
                <w:tcPr>
                  <w:tcW w:w="690"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工艺名称</w:t>
                  </w:r>
                </w:p>
              </w:tc>
              <w:tc>
                <w:tcPr>
                  <w:tcW w:w="660"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规模等级</w:t>
                  </w:r>
                </w:p>
              </w:tc>
              <w:tc>
                <w:tcPr>
                  <w:tcW w:w="885"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污染物指标</w:t>
                  </w:r>
                </w:p>
              </w:tc>
              <w:tc>
                <w:tcPr>
                  <w:tcW w:w="855"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单位</w:t>
                  </w:r>
                </w:p>
              </w:tc>
              <w:tc>
                <w:tcPr>
                  <w:tcW w:w="1530"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产污系数</w:t>
                  </w:r>
                </w:p>
              </w:tc>
              <w:tc>
                <w:tcPr>
                  <w:tcW w:w="943"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末端治理技术名称</w:t>
                  </w:r>
                </w:p>
              </w:tc>
              <w:tc>
                <w:tcPr>
                  <w:tcW w:w="882"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去除效率（%）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蒸汽/热水/其他蒸汽/热水/其他</w:t>
                  </w:r>
                </w:p>
              </w:tc>
              <w:tc>
                <w:tcPr>
                  <w:tcW w:w="73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生物质燃料</w:t>
                  </w:r>
                </w:p>
              </w:tc>
              <w:tc>
                <w:tcPr>
                  <w:tcW w:w="69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全部类型锅炉（锅外水处理）</w:t>
                  </w:r>
                </w:p>
              </w:tc>
              <w:tc>
                <w:tcPr>
                  <w:tcW w:w="66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所有规模</w:t>
                  </w:r>
                </w:p>
              </w:tc>
              <w:tc>
                <w:tcPr>
                  <w:tcW w:w="88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工业废水量</w:t>
                  </w:r>
                </w:p>
              </w:tc>
              <w:tc>
                <w:tcPr>
                  <w:tcW w:w="85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吨/吨-原料</w:t>
                  </w:r>
                </w:p>
              </w:tc>
              <w:tc>
                <w:tcPr>
                  <w:tcW w:w="153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0.356（锅炉排污水+软水处理废水）</w:t>
                  </w:r>
                </w:p>
              </w:tc>
              <w:tc>
                <w:tcPr>
                  <w:tcW w:w="943"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物理+化学</w:t>
                  </w:r>
                </w:p>
              </w:tc>
              <w:tc>
                <w:tcPr>
                  <w:tcW w:w="882"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7" w:type="dxa"/>
                  <w:gridSpan w:val="9"/>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18"/>
                      <w:szCs w:val="18"/>
                      <w:vertAlign w:val="baseline"/>
                      <w:lang w:val="en-US" w:eastAsia="zh-CN"/>
                    </w:rPr>
                    <w:t>注：锅外水处理：又称为锅外化学水处理。是指对进入锅炉之前的给水预先进行的各种预处理及软化、除碱或除盐等处理（主要是包括沉淀软化和水的离子交换软化），使水质达到各种类型锅炉的要求。是锅炉水质处理的主要方式。在锅外水处理过程中，会产生软化处理废水。同时锅炉运行过程中同样会产生锅炉排污水。因此对于锅外水处理的情况应同时考虑锅炉排污水和软化处理废水；表中锅外水处理系数包含锅炉排水和软化处理废水两部分。</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w:t>
            </w:r>
            <w:r>
              <w:rPr>
                <w:rFonts w:hint="eastAsia" w:ascii="Times New Roman" w:hAnsi="Times New Roman" w:eastAsia="宋体" w:cs="Times New Roman"/>
                <w:color w:val="auto"/>
                <w:sz w:val="24"/>
                <w:szCs w:val="24"/>
                <w:lang w:val="en-US" w:eastAsia="zh-CN"/>
              </w:rPr>
              <w:t>软水制备及</w:t>
            </w:r>
            <w:r>
              <w:rPr>
                <w:rFonts w:hint="default" w:ascii="Times New Roman" w:hAnsi="Times New Roman" w:eastAsia="宋体" w:cs="Times New Roman"/>
                <w:color w:val="auto"/>
                <w:sz w:val="24"/>
                <w:szCs w:val="24"/>
                <w:lang w:val="en-US" w:eastAsia="zh-CN"/>
              </w:rPr>
              <w:t>锅炉</w:t>
            </w:r>
            <w:r>
              <w:rPr>
                <w:rFonts w:hint="eastAsia" w:ascii="Times New Roman" w:hAnsi="Times New Roman" w:eastAsia="宋体" w:cs="Times New Roman"/>
                <w:color w:val="auto"/>
                <w:sz w:val="24"/>
                <w:szCs w:val="24"/>
                <w:lang w:val="en-US" w:eastAsia="zh-CN"/>
              </w:rPr>
              <w:t>排污</w:t>
            </w:r>
            <w:r>
              <w:rPr>
                <w:rFonts w:hint="default" w:ascii="Times New Roman" w:hAnsi="Times New Roman" w:eastAsia="宋体" w:cs="Times New Roman"/>
                <w:color w:val="auto"/>
                <w:sz w:val="24"/>
                <w:szCs w:val="24"/>
                <w:lang w:val="en-US" w:eastAsia="zh-CN"/>
              </w:rPr>
              <w:t>水产生量为：0.356t/t-原料×</w:t>
            </w:r>
            <w:r>
              <w:rPr>
                <w:rFonts w:hint="eastAsia" w:ascii="Times New Roman" w:hAnsi="Times New Roman" w:eastAsia="宋体" w:cs="Times New Roman"/>
                <w:color w:val="auto"/>
                <w:sz w:val="24"/>
                <w:szCs w:val="24"/>
                <w:lang w:val="en-US" w:eastAsia="zh-CN"/>
              </w:rPr>
              <w:t>1152</w:t>
            </w:r>
            <w:r>
              <w:rPr>
                <w:rFonts w:hint="default" w:ascii="Times New Roman" w:hAnsi="Times New Roman" w:eastAsia="宋体" w:cs="Times New Roman"/>
                <w:color w:val="auto"/>
                <w:sz w:val="24"/>
                <w:szCs w:val="24"/>
                <w:lang w:val="en-US" w:eastAsia="zh-CN"/>
              </w:rPr>
              <w:t>t/a=</w:t>
            </w:r>
            <w:r>
              <w:rPr>
                <w:rFonts w:hint="eastAsia" w:ascii="Times New Roman" w:hAnsi="Times New Roman" w:eastAsia="宋体" w:cs="Times New Roman"/>
                <w:color w:val="auto"/>
                <w:sz w:val="24"/>
                <w:szCs w:val="24"/>
                <w:lang w:val="en-US" w:eastAsia="zh-CN"/>
              </w:rPr>
              <w:t>410</w:t>
            </w:r>
            <w:r>
              <w:rPr>
                <w:rFonts w:hint="default" w:ascii="Times New Roman" w:hAnsi="Times New Roman" w:eastAsia="宋体" w:cs="Times New Roman"/>
                <w:color w:val="auto"/>
                <w:sz w:val="24"/>
                <w:szCs w:val="24"/>
                <w:lang w:val="en-US" w:eastAsia="zh-CN"/>
              </w:rPr>
              <w:t>t/a</w:t>
            </w:r>
            <w:r>
              <w:rPr>
                <w:rFonts w:hint="eastAsia" w:ascii="Times New Roman" w:hAnsi="Times New Roman" w:eastAsia="宋体" w:cs="Times New Roman"/>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3</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sz w:val="24"/>
                <w:szCs w:val="24"/>
                <w:lang w:val="en-US" w:eastAsia="zh-CN"/>
              </w:rPr>
              <w:t>除尘用水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锅炉采用水膜除尘，项目锅炉配置一台水膜除尘器，除尘器用水量为1t/d，耗水量按20%计算，以80%产污系数计，废水产生量0.8t/d，除尘器废水经沉淀池沉淀后循环用于水膜除尘。即水膜除尘器实际用水量为每天需要补充新鲜水量0.2t/d，</w:t>
            </w:r>
            <w:r>
              <w:rPr>
                <w:rFonts w:hint="eastAsia" w:ascii="Times New Roman" w:hAnsi="Times New Roman" w:eastAsia="宋体" w:cs="Times New Roman"/>
                <w:color w:val="auto"/>
                <w:sz w:val="24"/>
                <w:szCs w:val="24"/>
                <w:lang w:val="en-US" w:eastAsia="zh-CN"/>
              </w:rPr>
              <w:t>72</w:t>
            </w:r>
            <w:r>
              <w:rPr>
                <w:rFonts w:hint="default" w:ascii="Times New Roman" w:hAnsi="Times New Roman" w:eastAsia="宋体" w:cs="Times New Roman"/>
                <w:color w:val="auto"/>
                <w:sz w:val="24"/>
                <w:szCs w:val="24"/>
                <w:lang w:val="en-US" w:eastAsia="zh-CN"/>
              </w:rPr>
              <w:t>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（3）绿化用水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项目绿化面积为</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00m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，项目区内绿化用水量为</w:t>
            </w:r>
            <w:r>
              <w:rPr>
                <w:rFonts w:hint="eastAsia" w:ascii="Times New Roman" w:hAnsi="Times New Roman" w:eastAsia="宋体" w:cs="Times New Roman"/>
                <w:color w:val="auto"/>
                <w:sz w:val="24"/>
                <w:szCs w:val="24"/>
                <w:lang w:val="en-US" w:eastAsia="zh-CN"/>
              </w:rPr>
              <w:t>1.2</w:t>
            </w:r>
            <w:r>
              <w:rPr>
                <w:rFonts w:hint="default" w:ascii="Times New Roman" w:hAnsi="Times New Roman" w:eastAsia="宋体" w:cs="Times New Roman"/>
                <w:color w:val="auto"/>
                <w:sz w:val="24"/>
                <w:szCs w:val="24"/>
                <w:lang w:val="en-US" w:eastAsia="zh-CN"/>
              </w:rPr>
              <w:t>m³/d（旱季），</w:t>
            </w:r>
            <w:r>
              <w:rPr>
                <w:rFonts w:hint="eastAsia" w:ascii="Times New Roman" w:hAnsi="Times New Roman" w:eastAsia="宋体" w:cs="Times New Roman"/>
                <w:color w:val="auto"/>
                <w:sz w:val="24"/>
                <w:szCs w:val="24"/>
                <w:lang w:val="en-US" w:eastAsia="zh-CN"/>
              </w:rPr>
              <w:t>186</w:t>
            </w:r>
            <w:r>
              <w:rPr>
                <w:rFonts w:hint="default" w:ascii="Times New Roman" w:hAnsi="Times New Roman" w:eastAsia="宋体" w:cs="Times New Roman"/>
                <w:color w:val="auto"/>
                <w:sz w:val="24"/>
                <w:szCs w:val="24"/>
                <w:lang w:val="en-US" w:eastAsia="zh-CN"/>
              </w:rPr>
              <w:t>m³/a；绿化用水经植被吸收利用、蒸发消耗。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2、</w:t>
            </w:r>
            <w:r>
              <w:rPr>
                <w:rFonts w:hint="default" w:ascii="Times New Roman" w:hAnsi="Times New Roman" w:eastAsia="宋体" w:cs="Times New Roman"/>
                <w:color w:val="auto"/>
                <w:sz w:val="24"/>
                <w:szCs w:val="24"/>
                <w:lang w:val="en-US" w:eastAsia="zh-CN"/>
              </w:rPr>
              <w:t>废水排放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①废水排放量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项目运营期产生的生活污水</w:t>
            </w:r>
            <w:r>
              <w:rPr>
                <w:rFonts w:hint="eastAsia" w:ascii="Times New Roman" w:hAnsi="Times New Roman" w:eastAsia="宋体" w:cs="Times New Roman"/>
                <w:color w:val="auto"/>
                <w:sz w:val="24"/>
                <w:szCs w:val="24"/>
                <w:lang w:val="en-US" w:eastAsia="zh-CN"/>
              </w:rPr>
              <w:t>、生产废水经</w:t>
            </w:r>
            <w:r>
              <w:rPr>
                <w:rFonts w:hint="default" w:ascii="Times New Roman" w:hAnsi="Times New Roman" w:eastAsia="宋体" w:cs="Times New Roman"/>
                <w:color w:val="auto"/>
                <w:sz w:val="24"/>
                <w:szCs w:val="24"/>
                <w:lang w:val="en-US" w:eastAsia="zh-CN"/>
              </w:rPr>
              <w:t>化粪池处理达《污水综合排放标准》标准后，</w:t>
            </w:r>
            <w:r>
              <w:rPr>
                <w:rFonts w:hint="eastAsia" w:ascii="Times New Roman" w:hAnsi="Times New Roman" w:eastAsia="宋体" w:cs="Times New Roman"/>
                <w:color w:val="auto"/>
                <w:sz w:val="24"/>
                <w:szCs w:val="24"/>
                <w:lang w:val="en-US" w:eastAsia="zh-CN"/>
              </w:rPr>
              <w:t>排入市政污水管网，最终进入牛街乡污水处理厂</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项目废水产排情况见下表；</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表4-</w:t>
            </w:r>
            <w:r>
              <w:rPr>
                <w:rFonts w:hint="eastAsia" w:ascii="Times New Roman" w:hAnsi="Times New Roman" w:eastAsia="宋体" w:cs="Times New Roman"/>
                <w:b/>
                <w:bCs/>
                <w:color w:val="auto"/>
                <w:sz w:val="21"/>
                <w:szCs w:val="21"/>
                <w:lang w:val="en-US" w:eastAsia="zh-CN"/>
              </w:rPr>
              <w:t>7</w:t>
            </w:r>
            <w:r>
              <w:rPr>
                <w:rFonts w:hint="default" w:ascii="Times New Roman" w:hAnsi="Times New Roman" w:eastAsia="宋体" w:cs="Times New Roman"/>
                <w:b/>
                <w:bCs/>
                <w:color w:val="auto"/>
                <w:sz w:val="21"/>
                <w:szCs w:val="21"/>
                <w:lang w:val="en-US" w:eastAsia="zh-CN"/>
              </w:rPr>
              <w:t xml:space="preserve">  项目废水产排情况汇总表</w:t>
            </w:r>
          </w:p>
          <w:tbl>
            <w:tblPr>
              <w:tblStyle w:val="7"/>
              <w:tblW w:w="7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71"/>
              <w:gridCol w:w="1134"/>
              <w:gridCol w:w="1134"/>
              <w:gridCol w:w="1151"/>
              <w:gridCol w:w="1050"/>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产排污环节</w:t>
                  </w:r>
                </w:p>
              </w:tc>
              <w:tc>
                <w:tcPr>
                  <w:tcW w:w="1271"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污染物种类</w:t>
                  </w:r>
                </w:p>
              </w:tc>
              <w:tc>
                <w:tcPr>
                  <w:tcW w:w="1134"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用水量（m³/a）</w:t>
                  </w:r>
                </w:p>
              </w:tc>
              <w:tc>
                <w:tcPr>
                  <w:tcW w:w="1134"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废水产生量（m³/a）</w:t>
                  </w:r>
                </w:p>
              </w:tc>
              <w:tc>
                <w:tcPr>
                  <w:tcW w:w="1151"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采取措施</w:t>
                  </w:r>
                </w:p>
              </w:tc>
              <w:tc>
                <w:tcPr>
                  <w:tcW w:w="1050"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排放量（t/a）</w:t>
                  </w:r>
                </w:p>
              </w:tc>
              <w:tc>
                <w:tcPr>
                  <w:tcW w:w="1201"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生活污水</w:t>
                  </w:r>
                </w:p>
              </w:tc>
              <w:tc>
                <w:tcPr>
                  <w:tcW w:w="1271"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COD、BOD、SS、氨氮、总磷等</w:t>
                  </w:r>
                </w:p>
              </w:tc>
              <w:tc>
                <w:tcPr>
                  <w:tcW w:w="1134"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352.8</w:t>
                  </w:r>
                </w:p>
              </w:tc>
              <w:tc>
                <w:tcPr>
                  <w:tcW w:w="1134"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282.24</w:t>
                  </w:r>
                </w:p>
              </w:tc>
              <w:tc>
                <w:tcPr>
                  <w:tcW w:w="1151"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生活污水</w:t>
                  </w:r>
                  <w:r>
                    <w:rPr>
                      <w:rFonts w:hint="eastAsia" w:ascii="Times New Roman" w:hAnsi="Times New Roman" w:eastAsia="宋体" w:cs="Times New Roman"/>
                      <w:color w:val="auto"/>
                      <w:sz w:val="21"/>
                      <w:szCs w:val="21"/>
                      <w:lang w:val="en-US" w:eastAsia="zh-CN"/>
                    </w:rPr>
                    <w:t>经生活区</w:t>
                  </w:r>
                  <w:r>
                    <w:rPr>
                      <w:rFonts w:hint="default" w:ascii="Times New Roman" w:hAnsi="Times New Roman" w:eastAsia="宋体" w:cs="Times New Roman"/>
                      <w:color w:val="auto"/>
                      <w:sz w:val="21"/>
                      <w:szCs w:val="21"/>
                      <w:lang w:val="en-US" w:eastAsia="zh-CN"/>
                    </w:rPr>
                    <w:t>化粪池</w:t>
                  </w:r>
                  <w:r>
                    <w:rPr>
                      <w:rFonts w:hint="eastAsia" w:ascii="Times New Roman" w:hAnsi="Times New Roman" w:eastAsia="宋体" w:cs="Times New Roman"/>
                      <w:color w:val="auto"/>
                      <w:sz w:val="21"/>
                      <w:szCs w:val="21"/>
                      <w:lang w:val="en-US" w:eastAsia="zh-CN"/>
                    </w:rPr>
                    <w:t>处理</w:t>
                  </w:r>
                </w:p>
              </w:tc>
              <w:tc>
                <w:tcPr>
                  <w:tcW w:w="1050"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282.24</w:t>
                  </w:r>
                </w:p>
              </w:tc>
              <w:tc>
                <w:tcPr>
                  <w:tcW w:w="1201"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排入市政污水管网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洗涤废水</w:t>
                  </w:r>
                </w:p>
              </w:tc>
              <w:tc>
                <w:tcPr>
                  <w:tcW w:w="1271"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COD、BOD、SS、氨氮、总磷、总磷、阴离子表面活性剂</w:t>
                  </w:r>
                </w:p>
              </w:tc>
              <w:tc>
                <w:tcPr>
                  <w:tcW w:w="1134" w:type="dxa"/>
                  <w:vAlign w:val="center"/>
                </w:tcPr>
                <w:p>
                  <w:pPr>
                    <w:bidi w:val="0"/>
                    <w:jc w:val="center"/>
                    <w:rPr>
                      <w:rFonts w:hint="default"/>
                      <w:color w:val="auto"/>
                      <w:lang w:val="en-US" w:eastAsia="zh-CN"/>
                    </w:rPr>
                  </w:pPr>
                  <w:r>
                    <w:rPr>
                      <w:rFonts w:hint="eastAsia" w:ascii="Times New Roman" w:hAnsi="Times New Roman" w:eastAsia="宋体" w:cs="Times New Roman"/>
                      <w:color w:val="auto"/>
                      <w:sz w:val="21"/>
                      <w:szCs w:val="21"/>
                      <w:lang w:val="en-US" w:eastAsia="zh-CN"/>
                    </w:rPr>
                    <w:t>31320</w:t>
                  </w:r>
                </w:p>
              </w:tc>
              <w:tc>
                <w:tcPr>
                  <w:tcW w:w="1134" w:type="dxa"/>
                  <w:vAlign w:val="center"/>
                </w:tcPr>
                <w:p>
                  <w:pPr>
                    <w:bidi w:val="0"/>
                    <w:jc w:val="center"/>
                    <w:rPr>
                      <w:rFonts w:hint="default"/>
                      <w:color w:val="auto"/>
                      <w:lang w:val="en-US" w:eastAsia="zh-CN"/>
                    </w:rPr>
                  </w:pPr>
                  <w:r>
                    <w:rPr>
                      <w:rFonts w:hint="eastAsia" w:ascii="Times New Roman" w:hAnsi="Times New Roman" w:eastAsia="宋体" w:cs="Times New Roman"/>
                      <w:color w:val="auto"/>
                      <w:sz w:val="21"/>
                      <w:szCs w:val="21"/>
                      <w:lang w:val="en-US" w:eastAsia="zh-CN"/>
                    </w:rPr>
                    <w:t>28188</w:t>
                  </w:r>
                </w:p>
              </w:tc>
              <w:tc>
                <w:tcPr>
                  <w:tcW w:w="1151" w:type="dxa"/>
                  <w:vMerge w:val="restar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经</w:t>
                  </w:r>
                  <w:r>
                    <w:rPr>
                      <w:rFonts w:hint="eastAsia" w:ascii="Times New Roman" w:hAnsi="Times New Roman" w:eastAsia="宋体" w:cs="Times New Roman"/>
                      <w:color w:val="auto"/>
                      <w:sz w:val="21"/>
                      <w:szCs w:val="21"/>
                      <w:lang w:val="en-US" w:eastAsia="zh-CN"/>
                    </w:rPr>
                    <w:t>生产区化粪池处理</w:t>
                  </w:r>
                </w:p>
              </w:tc>
              <w:tc>
                <w:tcPr>
                  <w:tcW w:w="1050"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28188</w:t>
                  </w:r>
                </w:p>
              </w:tc>
              <w:tc>
                <w:tcPr>
                  <w:tcW w:w="1201" w:type="dxa"/>
                  <w:vMerge w:val="restar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排入市政污水管网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锅炉、软水制备废水</w:t>
                  </w:r>
                </w:p>
              </w:tc>
              <w:tc>
                <w:tcPr>
                  <w:tcW w:w="1271"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钙、镁离子、SS</w:t>
                  </w:r>
                </w:p>
              </w:tc>
              <w:tc>
                <w:tcPr>
                  <w:tcW w:w="1134" w:type="dxa"/>
                  <w:vAlign w:val="center"/>
                </w:tcPr>
                <w:p>
                  <w:pPr>
                    <w:bidi w:val="0"/>
                    <w:jc w:val="center"/>
                    <w:rPr>
                      <w:rFonts w:hint="default"/>
                      <w:color w:val="auto"/>
                      <w:lang w:val="en-US" w:eastAsia="zh-CN"/>
                    </w:rPr>
                  </w:pPr>
                  <w:r>
                    <w:rPr>
                      <w:rFonts w:hint="eastAsia" w:ascii="Times New Roman" w:hAnsi="Times New Roman" w:eastAsia="宋体" w:cs="Times New Roman"/>
                      <w:color w:val="auto"/>
                      <w:sz w:val="21"/>
                      <w:szCs w:val="21"/>
                      <w:lang w:val="en-US" w:eastAsia="zh-CN"/>
                    </w:rPr>
                    <w:t>7200</w:t>
                  </w:r>
                </w:p>
              </w:tc>
              <w:tc>
                <w:tcPr>
                  <w:tcW w:w="1134" w:type="dxa"/>
                  <w:vAlign w:val="center"/>
                </w:tcPr>
                <w:p>
                  <w:pPr>
                    <w:bidi w:val="0"/>
                    <w:jc w:val="center"/>
                    <w:rPr>
                      <w:rFonts w:hint="default"/>
                      <w:color w:val="auto"/>
                      <w:lang w:val="en-US" w:eastAsia="zh-CN"/>
                    </w:rPr>
                  </w:pPr>
                  <w:r>
                    <w:rPr>
                      <w:rFonts w:hint="eastAsia" w:ascii="Times New Roman" w:hAnsi="Times New Roman" w:eastAsia="宋体" w:cs="Times New Roman"/>
                      <w:color w:val="auto"/>
                      <w:sz w:val="21"/>
                      <w:szCs w:val="21"/>
                      <w:lang w:val="en-US" w:eastAsia="zh-CN"/>
                    </w:rPr>
                    <w:t>410</w:t>
                  </w:r>
                </w:p>
              </w:tc>
              <w:tc>
                <w:tcPr>
                  <w:tcW w:w="1151" w:type="dxa"/>
                  <w:vMerge w:val="continue"/>
                  <w:vAlign w:val="center"/>
                </w:tcPr>
                <w:p>
                  <w:pPr>
                    <w:bidi w:val="0"/>
                    <w:jc w:val="center"/>
                    <w:rPr>
                      <w:rFonts w:hint="default" w:ascii="Times New Roman" w:hAnsi="Times New Roman" w:eastAsia="宋体" w:cs="Times New Roman"/>
                      <w:color w:val="auto"/>
                      <w:sz w:val="21"/>
                      <w:szCs w:val="21"/>
                      <w:lang w:val="en-US" w:eastAsia="zh-CN"/>
                    </w:rPr>
                  </w:pPr>
                </w:p>
              </w:tc>
              <w:tc>
                <w:tcPr>
                  <w:tcW w:w="1050" w:type="dxa"/>
                  <w:vAlign w:val="center"/>
                </w:tcPr>
                <w:p>
                  <w:pPr>
                    <w:bidi w:val="0"/>
                    <w:jc w:val="center"/>
                    <w:rPr>
                      <w:rFonts w:hint="default"/>
                      <w:color w:val="auto"/>
                      <w:lang w:val="en-US" w:eastAsia="zh-CN"/>
                    </w:rPr>
                  </w:pPr>
                  <w:r>
                    <w:rPr>
                      <w:rFonts w:hint="eastAsia" w:ascii="Times New Roman" w:hAnsi="Times New Roman" w:eastAsia="宋体" w:cs="Times New Roman"/>
                      <w:color w:val="auto"/>
                      <w:sz w:val="21"/>
                      <w:szCs w:val="21"/>
                      <w:lang w:val="en-US" w:eastAsia="zh-CN"/>
                    </w:rPr>
                    <w:t>410</w:t>
                  </w:r>
                </w:p>
              </w:tc>
              <w:tc>
                <w:tcPr>
                  <w:tcW w:w="1201" w:type="dxa"/>
                  <w:vMerge w:val="continue"/>
                  <w:vAlign w:val="center"/>
                </w:tcPr>
                <w:p>
                  <w:pPr>
                    <w:bidi w:val="0"/>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除尘用水</w:t>
                  </w:r>
                </w:p>
              </w:tc>
              <w:tc>
                <w:tcPr>
                  <w:tcW w:w="1271"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SS</w:t>
                  </w:r>
                </w:p>
              </w:tc>
              <w:tc>
                <w:tcPr>
                  <w:tcW w:w="1134"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134"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0.8</w:t>
                  </w:r>
                </w:p>
              </w:tc>
              <w:tc>
                <w:tcPr>
                  <w:tcW w:w="1151"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沉淀处理</w:t>
                  </w:r>
                </w:p>
              </w:tc>
              <w:tc>
                <w:tcPr>
                  <w:tcW w:w="1050"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p>
              </w:tc>
              <w:tc>
                <w:tcPr>
                  <w:tcW w:w="1201"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循环使用，不外排</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②排放废水水质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项目目前已建成并投入运营，建设单位于2024年3月18日委托云南精科环境监测有限公司对项目废水排放口出水水质进行检测，监测结果如下；</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w:t>
            </w:r>
            <w:r>
              <w:rPr>
                <w:rFonts w:hint="eastAsia" w:ascii="Times New Roman" w:hAnsi="Times New Roman" w:eastAsia="宋体" w:cs="Times New Roman"/>
                <w:b/>
                <w:bCs/>
                <w:color w:val="auto"/>
                <w:sz w:val="21"/>
                <w:szCs w:val="21"/>
                <w:lang w:val="en-US" w:eastAsia="zh-CN"/>
              </w:rPr>
              <w:t>4-8</w:t>
            </w:r>
            <w:r>
              <w:rPr>
                <w:rFonts w:hint="default" w:ascii="Times New Roman" w:hAnsi="Times New Roman" w:eastAsia="宋体" w:cs="Times New Roman"/>
                <w:b/>
                <w:bCs/>
                <w:color w:val="auto"/>
                <w:sz w:val="21"/>
                <w:szCs w:val="21"/>
                <w:lang w:val="en-US" w:eastAsia="zh-CN"/>
              </w:rPr>
              <w:t xml:space="preserve">  </w:t>
            </w:r>
            <w:r>
              <w:rPr>
                <w:rFonts w:hint="eastAsia" w:ascii="Times New Roman" w:hAnsi="Times New Roman" w:eastAsia="宋体" w:cs="Times New Roman"/>
                <w:b/>
                <w:bCs/>
                <w:color w:val="auto"/>
                <w:sz w:val="21"/>
                <w:szCs w:val="21"/>
                <w:lang w:val="en-US" w:eastAsia="zh-CN"/>
              </w:rPr>
              <w:t>排放口出</w:t>
            </w:r>
            <w:r>
              <w:rPr>
                <w:rFonts w:hint="default" w:ascii="Times New Roman" w:hAnsi="Times New Roman" w:eastAsia="宋体" w:cs="Times New Roman"/>
                <w:b/>
                <w:bCs/>
                <w:color w:val="auto"/>
                <w:sz w:val="21"/>
                <w:szCs w:val="21"/>
                <w:lang w:val="en-US" w:eastAsia="zh-CN"/>
              </w:rPr>
              <w:t>水水质</w:t>
            </w:r>
            <w:r>
              <w:rPr>
                <w:rFonts w:hint="eastAsia" w:ascii="Times New Roman" w:hAnsi="Times New Roman" w:eastAsia="宋体" w:cs="Times New Roman"/>
                <w:b/>
                <w:bCs/>
                <w:color w:val="auto"/>
                <w:sz w:val="21"/>
                <w:szCs w:val="21"/>
                <w:lang w:val="en-US" w:eastAsia="zh-CN"/>
              </w:rPr>
              <w:t>监测结果  单位：mg/L</w:t>
            </w:r>
          </w:p>
          <w:tbl>
            <w:tblPr>
              <w:tblStyle w:val="7"/>
              <w:tblW w:w="7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12"/>
              <w:gridCol w:w="700"/>
              <w:gridCol w:w="725"/>
              <w:gridCol w:w="725"/>
              <w:gridCol w:w="650"/>
              <w:gridCol w:w="563"/>
              <w:gridCol w:w="725"/>
              <w:gridCol w:w="1225"/>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指标</w:t>
                  </w:r>
                </w:p>
              </w:tc>
              <w:tc>
                <w:tcPr>
                  <w:tcW w:w="512"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pH</w:t>
                  </w:r>
                </w:p>
              </w:tc>
              <w:tc>
                <w:tcPr>
                  <w:tcW w:w="700"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COD</w:t>
                  </w:r>
                </w:p>
              </w:tc>
              <w:tc>
                <w:tcPr>
                  <w:tcW w:w="725"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氨氮</w:t>
                  </w:r>
                </w:p>
              </w:tc>
              <w:tc>
                <w:tcPr>
                  <w:tcW w:w="725"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总磷</w:t>
                  </w:r>
                </w:p>
              </w:tc>
              <w:tc>
                <w:tcPr>
                  <w:tcW w:w="650"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总氮</w:t>
                  </w:r>
                </w:p>
              </w:tc>
              <w:tc>
                <w:tcPr>
                  <w:tcW w:w="563"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SS</w:t>
                  </w:r>
                </w:p>
              </w:tc>
              <w:tc>
                <w:tcPr>
                  <w:tcW w:w="725" w:type="dxa"/>
                  <w:vAlign w:val="center"/>
                </w:tcPr>
                <w:p>
                  <w:pPr>
                    <w:bidi w:val="0"/>
                    <w:jc w:val="center"/>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色度</w:t>
                  </w:r>
                </w:p>
              </w:tc>
              <w:tc>
                <w:tcPr>
                  <w:tcW w:w="1225" w:type="dxa"/>
                  <w:vAlign w:val="center"/>
                </w:tcPr>
                <w:p>
                  <w:pPr>
                    <w:bidi w:val="0"/>
                    <w:jc w:val="center"/>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动植物油</w:t>
                  </w:r>
                </w:p>
              </w:tc>
              <w:tc>
                <w:tcPr>
                  <w:tcW w:w="1379" w:type="dxa"/>
                  <w:vAlign w:val="center"/>
                </w:tcPr>
                <w:p>
                  <w:pPr>
                    <w:bidi w:val="0"/>
                    <w:jc w:val="center"/>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阴离子表面活性剂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浓度</w:t>
                  </w:r>
                </w:p>
              </w:tc>
              <w:tc>
                <w:tcPr>
                  <w:tcW w:w="512"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7.8</w:t>
                  </w:r>
                </w:p>
              </w:tc>
              <w:tc>
                <w:tcPr>
                  <w:tcW w:w="70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152</w:t>
                  </w:r>
                </w:p>
              </w:tc>
              <w:tc>
                <w:tcPr>
                  <w:tcW w:w="72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4.48</w:t>
                  </w:r>
                </w:p>
              </w:tc>
              <w:tc>
                <w:tcPr>
                  <w:tcW w:w="72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0.27</w:t>
                  </w:r>
                </w:p>
              </w:tc>
              <w:tc>
                <w:tcPr>
                  <w:tcW w:w="65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6.78</w:t>
                  </w:r>
                </w:p>
              </w:tc>
              <w:tc>
                <w:tcPr>
                  <w:tcW w:w="563"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12</w:t>
                  </w:r>
                </w:p>
              </w:tc>
              <w:tc>
                <w:tcPr>
                  <w:tcW w:w="72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w:t>
                  </w:r>
                </w:p>
              </w:tc>
              <w:tc>
                <w:tcPr>
                  <w:tcW w:w="122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6.17</w:t>
                  </w:r>
                </w:p>
              </w:tc>
              <w:tc>
                <w:tcPr>
                  <w:tcW w:w="137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16.4</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③</w:t>
            </w:r>
            <w:r>
              <w:rPr>
                <w:rFonts w:hint="default" w:ascii="Times New Roman" w:hAnsi="Times New Roman" w:eastAsia="宋体" w:cs="Times New Roman"/>
                <w:color w:val="auto"/>
                <w:sz w:val="24"/>
                <w:szCs w:val="24"/>
                <w:lang w:val="en-US" w:eastAsia="zh-CN"/>
              </w:rPr>
              <w:t>废水排放口设置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项目设1个标准化排污口，项目废水处理设施及排污口信息如下所示：</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表4-</w:t>
            </w:r>
            <w:r>
              <w:rPr>
                <w:rFonts w:hint="eastAsia" w:ascii="Times New Roman" w:hAnsi="Times New Roman" w:eastAsia="宋体" w:cs="Times New Roman"/>
                <w:b/>
                <w:bCs/>
                <w:color w:val="auto"/>
                <w:sz w:val="21"/>
                <w:szCs w:val="21"/>
                <w:lang w:val="en-US" w:eastAsia="zh-CN"/>
              </w:rPr>
              <w:t>9</w:t>
            </w:r>
            <w:r>
              <w:rPr>
                <w:rFonts w:hint="default" w:ascii="Times New Roman" w:hAnsi="Times New Roman" w:eastAsia="宋体" w:cs="Times New Roman"/>
                <w:b/>
                <w:bCs/>
                <w:color w:val="auto"/>
                <w:sz w:val="21"/>
                <w:szCs w:val="21"/>
                <w:lang w:val="en-US" w:eastAsia="zh-CN"/>
              </w:rPr>
              <w:t xml:space="preserve">  废水类别、污染物及污染治理设施信息表</w:t>
            </w:r>
          </w:p>
          <w:tbl>
            <w:tblPr>
              <w:tblStyle w:val="7"/>
              <w:tblW w:w="7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688"/>
              <w:gridCol w:w="787"/>
              <w:gridCol w:w="575"/>
              <w:gridCol w:w="575"/>
              <w:gridCol w:w="488"/>
              <w:gridCol w:w="679"/>
              <w:gridCol w:w="1033"/>
              <w:gridCol w:w="950"/>
              <w:gridCol w:w="890"/>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9" w:type="dxa"/>
                  <w:vMerge w:val="restart"/>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序号</w:t>
                  </w:r>
                </w:p>
              </w:tc>
              <w:tc>
                <w:tcPr>
                  <w:tcW w:w="688" w:type="dxa"/>
                  <w:vMerge w:val="restart"/>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废水类别</w:t>
                  </w:r>
                </w:p>
              </w:tc>
              <w:tc>
                <w:tcPr>
                  <w:tcW w:w="787" w:type="dxa"/>
                  <w:vMerge w:val="restart"/>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污染物种类</w:t>
                  </w:r>
                </w:p>
              </w:tc>
              <w:tc>
                <w:tcPr>
                  <w:tcW w:w="575" w:type="dxa"/>
                  <w:vMerge w:val="restart"/>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排放去向</w:t>
                  </w:r>
                </w:p>
              </w:tc>
              <w:tc>
                <w:tcPr>
                  <w:tcW w:w="575" w:type="dxa"/>
                  <w:vMerge w:val="restart"/>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排放规律</w:t>
                  </w:r>
                </w:p>
              </w:tc>
              <w:tc>
                <w:tcPr>
                  <w:tcW w:w="2200" w:type="dxa"/>
                  <w:gridSpan w:val="3"/>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污染治理设施</w:t>
                  </w:r>
                </w:p>
              </w:tc>
              <w:tc>
                <w:tcPr>
                  <w:tcW w:w="950" w:type="dxa"/>
                  <w:vMerge w:val="restart"/>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排放口编号</w:t>
                  </w:r>
                </w:p>
              </w:tc>
              <w:tc>
                <w:tcPr>
                  <w:tcW w:w="890" w:type="dxa"/>
                  <w:vMerge w:val="restart"/>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排放口设置是否符合要求</w:t>
                  </w:r>
                </w:p>
              </w:tc>
              <w:tc>
                <w:tcPr>
                  <w:tcW w:w="717" w:type="dxa"/>
                  <w:vMerge w:val="restart"/>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9"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88"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787"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575"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575"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488"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编号</w:t>
                  </w:r>
                </w:p>
              </w:tc>
              <w:tc>
                <w:tcPr>
                  <w:tcW w:w="679"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名称</w:t>
                  </w:r>
                </w:p>
              </w:tc>
              <w:tc>
                <w:tcPr>
                  <w:tcW w:w="1033"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工艺</w:t>
                  </w:r>
                </w:p>
              </w:tc>
              <w:tc>
                <w:tcPr>
                  <w:tcW w:w="950"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890"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717"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9"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1</w:t>
                  </w:r>
                </w:p>
              </w:tc>
              <w:tc>
                <w:tcPr>
                  <w:tcW w:w="688"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生活污水、生产废水</w:t>
                  </w:r>
                </w:p>
              </w:tc>
              <w:tc>
                <w:tcPr>
                  <w:tcW w:w="787"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COD、BOD</w:t>
                  </w:r>
                  <w:r>
                    <w:rPr>
                      <w:rFonts w:hint="default" w:ascii="Times New Roman" w:hAnsi="Times New Roman" w:eastAsia="宋体" w:cs="Times New Roman"/>
                      <w:color w:val="auto"/>
                      <w:sz w:val="15"/>
                      <w:szCs w:val="15"/>
                      <w:vertAlign w:val="subscript"/>
                      <w:lang w:val="en-US" w:eastAsia="zh-CN"/>
                    </w:rPr>
                    <w:t>5</w:t>
                  </w:r>
                  <w:r>
                    <w:rPr>
                      <w:rFonts w:hint="default" w:ascii="Times New Roman" w:hAnsi="Times New Roman" w:eastAsia="宋体" w:cs="Times New Roman"/>
                      <w:color w:val="auto"/>
                      <w:sz w:val="15"/>
                      <w:szCs w:val="15"/>
                      <w:lang w:val="en-US" w:eastAsia="zh-CN"/>
                    </w:rPr>
                    <w:t>、氨氮、SS、动植物油、阴离子</w:t>
                  </w:r>
                </w:p>
              </w:tc>
              <w:tc>
                <w:tcPr>
                  <w:tcW w:w="575"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牛街乡污水处理厂</w:t>
                  </w:r>
                </w:p>
              </w:tc>
              <w:tc>
                <w:tcPr>
                  <w:tcW w:w="575"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间断</w:t>
                  </w:r>
                </w:p>
              </w:tc>
              <w:tc>
                <w:tcPr>
                  <w:tcW w:w="488"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w:t>
                  </w:r>
                </w:p>
              </w:tc>
              <w:tc>
                <w:tcPr>
                  <w:tcW w:w="679"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化粪池</w:t>
                  </w:r>
                </w:p>
              </w:tc>
              <w:tc>
                <w:tcPr>
                  <w:tcW w:w="1033"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初沉池</w:t>
                  </w:r>
                </w:p>
              </w:tc>
              <w:tc>
                <w:tcPr>
                  <w:tcW w:w="950"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DW001</w:t>
                  </w:r>
                </w:p>
              </w:tc>
              <w:tc>
                <w:tcPr>
                  <w:tcW w:w="890"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是</w:t>
                  </w:r>
                </w:p>
              </w:tc>
              <w:tc>
                <w:tcPr>
                  <w:tcW w:w="717"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综合废水排放口</w:t>
                  </w:r>
                </w:p>
              </w:tc>
            </w:tr>
          </w:tbl>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表4-</w:t>
            </w:r>
            <w:r>
              <w:rPr>
                <w:rFonts w:hint="eastAsia" w:ascii="Times New Roman" w:hAnsi="Times New Roman" w:eastAsia="宋体" w:cs="Times New Roman"/>
                <w:b/>
                <w:bCs/>
                <w:color w:val="auto"/>
                <w:sz w:val="21"/>
                <w:szCs w:val="21"/>
                <w:lang w:val="en-US" w:eastAsia="zh-CN"/>
              </w:rPr>
              <w:t>10</w:t>
            </w:r>
            <w:r>
              <w:rPr>
                <w:rFonts w:hint="default" w:ascii="Times New Roman" w:hAnsi="Times New Roman" w:eastAsia="宋体" w:cs="Times New Roman"/>
                <w:b/>
                <w:bCs/>
                <w:color w:val="auto"/>
                <w:sz w:val="21"/>
                <w:szCs w:val="21"/>
                <w:lang w:val="en-US" w:eastAsia="zh-CN"/>
              </w:rPr>
              <w:t xml:space="preserve">  废水间接排放口基本情况表</w:t>
            </w:r>
          </w:p>
          <w:tbl>
            <w:tblPr>
              <w:tblStyle w:val="7"/>
              <w:tblW w:w="7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637"/>
              <w:gridCol w:w="876"/>
              <w:gridCol w:w="864"/>
              <w:gridCol w:w="810"/>
              <w:gridCol w:w="622"/>
              <w:gridCol w:w="641"/>
              <w:gridCol w:w="662"/>
              <w:gridCol w:w="688"/>
              <w:gridCol w:w="762"/>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7" w:type="dxa"/>
                  <w:vMerge w:val="restart"/>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序号</w:t>
                  </w:r>
                </w:p>
              </w:tc>
              <w:tc>
                <w:tcPr>
                  <w:tcW w:w="637" w:type="dxa"/>
                  <w:vMerge w:val="restart"/>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排放口编号</w:t>
                  </w:r>
                </w:p>
              </w:tc>
              <w:tc>
                <w:tcPr>
                  <w:tcW w:w="1740" w:type="dxa"/>
                  <w:gridSpan w:val="2"/>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排放口地理坐标</w:t>
                  </w:r>
                </w:p>
              </w:tc>
              <w:tc>
                <w:tcPr>
                  <w:tcW w:w="810" w:type="dxa"/>
                  <w:vMerge w:val="restart"/>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废水排放量（万m³/a）</w:t>
                  </w:r>
                </w:p>
              </w:tc>
              <w:tc>
                <w:tcPr>
                  <w:tcW w:w="622" w:type="dxa"/>
                  <w:vMerge w:val="restart"/>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排放去向</w:t>
                  </w:r>
                </w:p>
              </w:tc>
              <w:tc>
                <w:tcPr>
                  <w:tcW w:w="641" w:type="dxa"/>
                  <w:vMerge w:val="restart"/>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排放规律</w:t>
                  </w:r>
                </w:p>
              </w:tc>
              <w:tc>
                <w:tcPr>
                  <w:tcW w:w="662" w:type="dxa"/>
                  <w:vMerge w:val="restart"/>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间歇排放时段</w:t>
                  </w:r>
                </w:p>
              </w:tc>
              <w:tc>
                <w:tcPr>
                  <w:tcW w:w="2282" w:type="dxa"/>
                  <w:gridSpan w:val="3"/>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受纳污水信息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7"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37"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876"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经度</w:t>
                  </w:r>
                </w:p>
              </w:tc>
              <w:tc>
                <w:tcPr>
                  <w:tcW w:w="864"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纬度</w:t>
                  </w:r>
                </w:p>
              </w:tc>
              <w:tc>
                <w:tcPr>
                  <w:tcW w:w="810"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22"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41"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62"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88"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名称</w:t>
                  </w:r>
                </w:p>
              </w:tc>
              <w:tc>
                <w:tcPr>
                  <w:tcW w:w="762"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污染物种类</w:t>
                  </w:r>
                </w:p>
              </w:tc>
              <w:tc>
                <w:tcPr>
                  <w:tcW w:w="832"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标准限值（mg/L）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7" w:type="dxa"/>
                  <w:vMerge w:val="restart"/>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1</w:t>
                  </w:r>
                </w:p>
              </w:tc>
              <w:tc>
                <w:tcPr>
                  <w:tcW w:w="637" w:type="dxa"/>
                  <w:vMerge w:val="restart"/>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DW001</w:t>
                  </w:r>
                </w:p>
              </w:tc>
              <w:tc>
                <w:tcPr>
                  <w:tcW w:w="876" w:type="dxa"/>
                  <w:vMerge w:val="restart"/>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100.00273526</w:t>
                  </w:r>
                </w:p>
              </w:tc>
              <w:tc>
                <w:tcPr>
                  <w:tcW w:w="864" w:type="dxa"/>
                  <w:vMerge w:val="restart"/>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26.28770610</w:t>
                  </w:r>
                </w:p>
              </w:tc>
              <w:tc>
                <w:tcPr>
                  <w:tcW w:w="810" w:type="dxa"/>
                  <w:vMerge w:val="restart"/>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2.89</w:t>
                  </w:r>
                </w:p>
              </w:tc>
              <w:tc>
                <w:tcPr>
                  <w:tcW w:w="622" w:type="dxa"/>
                  <w:vMerge w:val="restart"/>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市政污水管网</w:t>
                  </w:r>
                </w:p>
              </w:tc>
              <w:tc>
                <w:tcPr>
                  <w:tcW w:w="641" w:type="dxa"/>
                  <w:vMerge w:val="restart"/>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间接排放，排放期间流量稳定</w:t>
                  </w:r>
                </w:p>
              </w:tc>
              <w:tc>
                <w:tcPr>
                  <w:tcW w:w="662" w:type="dxa"/>
                  <w:vMerge w:val="restart"/>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w:t>
                  </w:r>
                </w:p>
              </w:tc>
              <w:tc>
                <w:tcPr>
                  <w:tcW w:w="688" w:type="dxa"/>
                  <w:vMerge w:val="restart"/>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牛街乡污水处理厂</w:t>
                  </w:r>
                </w:p>
              </w:tc>
              <w:tc>
                <w:tcPr>
                  <w:tcW w:w="762"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pH</w:t>
                  </w:r>
                </w:p>
              </w:tc>
              <w:tc>
                <w:tcPr>
                  <w:tcW w:w="832"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7"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37"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876"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864"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810"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22"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41"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62"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88"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762"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COD</w:t>
                  </w:r>
                </w:p>
              </w:tc>
              <w:tc>
                <w:tcPr>
                  <w:tcW w:w="832"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7"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37"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876"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864"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810"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22"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41"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62"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88"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762"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BOD</w:t>
                  </w:r>
                  <w:r>
                    <w:rPr>
                      <w:rFonts w:hint="default" w:ascii="Times New Roman" w:hAnsi="Times New Roman" w:eastAsia="宋体" w:cs="Times New Roman"/>
                      <w:color w:val="auto"/>
                      <w:sz w:val="15"/>
                      <w:szCs w:val="15"/>
                      <w:vertAlign w:val="subscript"/>
                      <w:lang w:val="en-US" w:eastAsia="zh-CN"/>
                    </w:rPr>
                    <w:t>5</w:t>
                  </w:r>
                </w:p>
              </w:tc>
              <w:tc>
                <w:tcPr>
                  <w:tcW w:w="832"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7"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37"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876"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864"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810"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22"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41"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62"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88"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762"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SS</w:t>
                  </w:r>
                </w:p>
              </w:tc>
              <w:tc>
                <w:tcPr>
                  <w:tcW w:w="832"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7"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37"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876"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864"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810"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22"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41"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62"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88"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762"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氨氮</w:t>
                  </w:r>
                </w:p>
              </w:tc>
              <w:tc>
                <w:tcPr>
                  <w:tcW w:w="832"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7"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37"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876"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864"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810"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22"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41"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62"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88"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762"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总磷</w:t>
                  </w:r>
                </w:p>
              </w:tc>
              <w:tc>
                <w:tcPr>
                  <w:tcW w:w="832"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7"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37"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876"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864"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810"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22"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41"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62"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88"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762"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动植物油</w:t>
                  </w:r>
                </w:p>
              </w:tc>
              <w:tc>
                <w:tcPr>
                  <w:tcW w:w="832"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7"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37"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876"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864"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810"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22"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41"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62"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688"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762"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LAS</w:t>
                  </w:r>
                </w:p>
              </w:tc>
              <w:tc>
                <w:tcPr>
                  <w:tcW w:w="832"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20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3、废水措施可行性分析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①污水处理设施可行性分析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项目目前已建成并投入运营，建设单位于2024年3月18日委托云南精科环境监测有限公司对项目废水排放口出水水质进行检测，监测结果如下；</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w:t>
            </w:r>
            <w:r>
              <w:rPr>
                <w:rFonts w:hint="eastAsia" w:ascii="Times New Roman" w:hAnsi="Times New Roman" w:eastAsia="宋体" w:cs="Times New Roman"/>
                <w:b/>
                <w:bCs/>
                <w:color w:val="auto"/>
                <w:sz w:val="21"/>
                <w:szCs w:val="21"/>
                <w:lang w:val="en-US" w:eastAsia="zh-CN"/>
              </w:rPr>
              <w:t>4-8</w:t>
            </w:r>
            <w:r>
              <w:rPr>
                <w:rFonts w:hint="default" w:ascii="Times New Roman" w:hAnsi="Times New Roman" w:eastAsia="宋体" w:cs="Times New Roman"/>
                <w:b/>
                <w:bCs/>
                <w:color w:val="auto"/>
                <w:sz w:val="21"/>
                <w:szCs w:val="21"/>
                <w:lang w:val="en-US" w:eastAsia="zh-CN"/>
              </w:rPr>
              <w:t xml:space="preserve">  </w:t>
            </w:r>
            <w:r>
              <w:rPr>
                <w:rFonts w:hint="eastAsia" w:ascii="Times New Roman" w:hAnsi="Times New Roman" w:eastAsia="宋体" w:cs="Times New Roman"/>
                <w:b/>
                <w:bCs/>
                <w:color w:val="auto"/>
                <w:sz w:val="21"/>
                <w:szCs w:val="21"/>
                <w:lang w:val="en-US" w:eastAsia="zh-CN"/>
              </w:rPr>
              <w:t>排放口出</w:t>
            </w:r>
            <w:r>
              <w:rPr>
                <w:rFonts w:hint="default" w:ascii="Times New Roman" w:hAnsi="Times New Roman" w:eastAsia="宋体" w:cs="Times New Roman"/>
                <w:b/>
                <w:bCs/>
                <w:color w:val="auto"/>
                <w:sz w:val="21"/>
                <w:szCs w:val="21"/>
                <w:lang w:val="en-US" w:eastAsia="zh-CN"/>
              </w:rPr>
              <w:t>水水质</w:t>
            </w:r>
            <w:r>
              <w:rPr>
                <w:rFonts w:hint="eastAsia" w:ascii="Times New Roman" w:hAnsi="Times New Roman" w:eastAsia="宋体" w:cs="Times New Roman"/>
                <w:b/>
                <w:bCs/>
                <w:color w:val="auto"/>
                <w:sz w:val="21"/>
                <w:szCs w:val="21"/>
                <w:lang w:val="en-US" w:eastAsia="zh-CN"/>
              </w:rPr>
              <w:t>监测结果  单位：mg/L</w:t>
            </w:r>
          </w:p>
          <w:tbl>
            <w:tblPr>
              <w:tblStyle w:val="7"/>
              <w:tblW w:w="7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05"/>
              <w:gridCol w:w="730"/>
              <w:gridCol w:w="680"/>
              <w:gridCol w:w="650"/>
              <w:gridCol w:w="660"/>
              <w:gridCol w:w="750"/>
              <w:gridCol w:w="640"/>
              <w:gridCol w:w="1010"/>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指标</w:t>
                  </w:r>
                </w:p>
              </w:tc>
              <w:tc>
                <w:tcPr>
                  <w:tcW w:w="705"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pH</w:t>
                  </w:r>
                </w:p>
              </w:tc>
              <w:tc>
                <w:tcPr>
                  <w:tcW w:w="730"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COD</w:t>
                  </w:r>
                </w:p>
              </w:tc>
              <w:tc>
                <w:tcPr>
                  <w:tcW w:w="680"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氨氮</w:t>
                  </w:r>
                </w:p>
              </w:tc>
              <w:tc>
                <w:tcPr>
                  <w:tcW w:w="650"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总磷</w:t>
                  </w:r>
                </w:p>
              </w:tc>
              <w:tc>
                <w:tcPr>
                  <w:tcW w:w="660"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总氮</w:t>
                  </w:r>
                </w:p>
              </w:tc>
              <w:tc>
                <w:tcPr>
                  <w:tcW w:w="750"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SS</w:t>
                  </w:r>
                </w:p>
              </w:tc>
              <w:tc>
                <w:tcPr>
                  <w:tcW w:w="640" w:type="dxa"/>
                  <w:vAlign w:val="center"/>
                </w:tcPr>
                <w:p>
                  <w:pPr>
                    <w:bidi w:val="0"/>
                    <w:jc w:val="center"/>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色度</w:t>
                  </w:r>
                </w:p>
              </w:tc>
              <w:tc>
                <w:tcPr>
                  <w:tcW w:w="1010" w:type="dxa"/>
                  <w:vAlign w:val="center"/>
                </w:tcPr>
                <w:p>
                  <w:pPr>
                    <w:bidi w:val="0"/>
                    <w:jc w:val="center"/>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动植物油</w:t>
                  </w:r>
                </w:p>
              </w:tc>
              <w:tc>
                <w:tcPr>
                  <w:tcW w:w="1379" w:type="dxa"/>
                  <w:vAlign w:val="center"/>
                </w:tcPr>
                <w:p>
                  <w:pPr>
                    <w:bidi w:val="0"/>
                    <w:jc w:val="center"/>
                    <w:rPr>
                      <w:rFonts w:hint="eastAsia"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阴离子表面活性剂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浓度</w:t>
                  </w:r>
                </w:p>
              </w:tc>
              <w:tc>
                <w:tcPr>
                  <w:tcW w:w="70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7.8</w:t>
                  </w:r>
                </w:p>
              </w:tc>
              <w:tc>
                <w:tcPr>
                  <w:tcW w:w="73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152</w:t>
                  </w:r>
                </w:p>
              </w:tc>
              <w:tc>
                <w:tcPr>
                  <w:tcW w:w="68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4.48</w:t>
                  </w:r>
                </w:p>
              </w:tc>
              <w:tc>
                <w:tcPr>
                  <w:tcW w:w="65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0.27</w:t>
                  </w:r>
                </w:p>
              </w:tc>
              <w:tc>
                <w:tcPr>
                  <w:tcW w:w="66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6.78</w:t>
                  </w:r>
                </w:p>
              </w:tc>
              <w:tc>
                <w:tcPr>
                  <w:tcW w:w="75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12</w:t>
                  </w:r>
                </w:p>
              </w:tc>
              <w:tc>
                <w:tcPr>
                  <w:tcW w:w="64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w:t>
                  </w:r>
                </w:p>
              </w:tc>
              <w:tc>
                <w:tcPr>
                  <w:tcW w:w="101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6.17</w:t>
                  </w:r>
                </w:p>
              </w:tc>
              <w:tc>
                <w:tcPr>
                  <w:tcW w:w="137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标准</w:t>
                  </w:r>
                </w:p>
              </w:tc>
              <w:tc>
                <w:tcPr>
                  <w:tcW w:w="70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6-9</w:t>
                  </w:r>
                </w:p>
              </w:tc>
              <w:tc>
                <w:tcPr>
                  <w:tcW w:w="73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500</w:t>
                  </w:r>
                </w:p>
              </w:tc>
              <w:tc>
                <w:tcPr>
                  <w:tcW w:w="68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45</w:t>
                  </w:r>
                </w:p>
              </w:tc>
              <w:tc>
                <w:tcPr>
                  <w:tcW w:w="65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8</w:t>
                  </w:r>
                </w:p>
              </w:tc>
              <w:tc>
                <w:tcPr>
                  <w:tcW w:w="66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75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400</w:t>
                  </w:r>
                </w:p>
              </w:tc>
              <w:tc>
                <w:tcPr>
                  <w:tcW w:w="64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01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100</w:t>
                  </w:r>
                </w:p>
              </w:tc>
              <w:tc>
                <w:tcPr>
                  <w:tcW w:w="1379"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bidi w:val="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达标情况</w:t>
                  </w:r>
                </w:p>
              </w:tc>
              <w:tc>
                <w:tcPr>
                  <w:tcW w:w="705" w:type="dxa"/>
                  <w:vAlign w:val="center"/>
                </w:tcPr>
                <w:p>
                  <w:pPr>
                    <w:bidi w:val="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达标</w:t>
                  </w:r>
                </w:p>
              </w:tc>
              <w:tc>
                <w:tcPr>
                  <w:tcW w:w="730" w:type="dxa"/>
                  <w:vAlign w:val="center"/>
                </w:tcPr>
                <w:p>
                  <w:pPr>
                    <w:bidi w:val="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达标</w:t>
                  </w:r>
                </w:p>
              </w:tc>
              <w:tc>
                <w:tcPr>
                  <w:tcW w:w="680" w:type="dxa"/>
                  <w:vAlign w:val="center"/>
                </w:tcPr>
                <w:p>
                  <w:pPr>
                    <w:bidi w:val="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达标</w:t>
                  </w:r>
                </w:p>
              </w:tc>
              <w:tc>
                <w:tcPr>
                  <w:tcW w:w="650" w:type="dxa"/>
                  <w:vAlign w:val="center"/>
                </w:tcPr>
                <w:p>
                  <w:pPr>
                    <w:bidi w:val="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达标</w:t>
                  </w:r>
                </w:p>
              </w:tc>
              <w:tc>
                <w:tcPr>
                  <w:tcW w:w="66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750" w:type="dxa"/>
                  <w:vAlign w:val="center"/>
                </w:tcPr>
                <w:p>
                  <w:pPr>
                    <w:bidi w:val="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达标</w:t>
                  </w:r>
                </w:p>
              </w:tc>
              <w:tc>
                <w:tcPr>
                  <w:tcW w:w="64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010" w:type="dxa"/>
                  <w:vAlign w:val="center"/>
                </w:tcPr>
                <w:p>
                  <w:pPr>
                    <w:bidi w:val="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达标</w:t>
                  </w:r>
                </w:p>
              </w:tc>
              <w:tc>
                <w:tcPr>
                  <w:tcW w:w="1379" w:type="dxa"/>
                  <w:vAlign w:val="center"/>
                </w:tcPr>
                <w:p>
                  <w:pPr>
                    <w:bidi w:val="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达标</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项目废水处理设施工艺为初沉淀，根据《排污许可证申请与核发技术规范 水处理（试行）》（HJ978-2018），废水治理要求进行项目废水治理技术可行性分析，见下表。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表4-</w:t>
            </w:r>
            <w:r>
              <w:rPr>
                <w:rFonts w:hint="eastAsia" w:ascii="Times New Roman" w:hAnsi="Times New Roman" w:eastAsia="宋体" w:cs="Times New Roman"/>
                <w:b/>
                <w:bCs/>
                <w:color w:val="auto"/>
                <w:sz w:val="21"/>
                <w:szCs w:val="21"/>
                <w:lang w:val="en-US" w:eastAsia="zh-CN"/>
              </w:rPr>
              <w:t>12</w:t>
            </w:r>
            <w:r>
              <w:rPr>
                <w:rFonts w:hint="default" w:ascii="Times New Roman" w:hAnsi="Times New Roman" w:eastAsia="宋体" w:cs="Times New Roman"/>
                <w:b/>
                <w:bCs/>
                <w:color w:val="auto"/>
                <w:sz w:val="21"/>
                <w:szCs w:val="21"/>
                <w:lang w:val="en-US" w:eastAsia="zh-CN"/>
              </w:rPr>
              <w:t xml:space="preserve">  </w:t>
            </w:r>
            <w:r>
              <w:rPr>
                <w:rFonts w:hint="eastAsia" w:ascii="Times New Roman" w:hAnsi="Times New Roman" w:eastAsia="宋体" w:cs="Times New Roman"/>
                <w:b/>
                <w:bCs/>
                <w:color w:val="auto"/>
                <w:sz w:val="21"/>
                <w:szCs w:val="21"/>
                <w:lang w:val="en-US" w:eastAsia="zh-CN"/>
              </w:rPr>
              <w:t>废水</w:t>
            </w:r>
            <w:r>
              <w:rPr>
                <w:rFonts w:hint="default" w:ascii="Times New Roman" w:hAnsi="Times New Roman" w:eastAsia="宋体" w:cs="Times New Roman"/>
                <w:b/>
                <w:bCs/>
                <w:color w:val="auto"/>
                <w:sz w:val="21"/>
                <w:szCs w:val="21"/>
                <w:lang w:val="en-US" w:eastAsia="zh-CN"/>
              </w:rPr>
              <w:t>污染防治可行技术分析</w:t>
            </w:r>
          </w:p>
          <w:tbl>
            <w:tblPr>
              <w:tblStyle w:val="7"/>
              <w:tblW w:w="7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963"/>
              <w:gridCol w:w="2062"/>
              <w:gridCol w:w="1515"/>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224"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废水</w:t>
                  </w:r>
                  <w:r>
                    <w:rPr>
                      <w:rFonts w:hint="default" w:ascii="Times New Roman" w:hAnsi="Times New Roman" w:eastAsia="宋体" w:cs="Times New Roman"/>
                      <w:b/>
                      <w:bCs/>
                      <w:color w:val="auto"/>
                      <w:sz w:val="21"/>
                      <w:szCs w:val="21"/>
                      <w:vertAlign w:val="baseline"/>
                      <w:lang w:val="en-US" w:eastAsia="zh-CN"/>
                    </w:rPr>
                    <w:t>类型</w:t>
                  </w:r>
                </w:p>
              </w:tc>
              <w:tc>
                <w:tcPr>
                  <w:tcW w:w="1963"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执行标准</w:t>
                  </w:r>
                </w:p>
              </w:tc>
              <w:tc>
                <w:tcPr>
                  <w:tcW w:w="2062"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可行技术</w:t>
                  </w:r>
                </w:p>
              </w:tc>
              <w:tc>
                <w:tcPr>
                  <w:tcW w:w="1515"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项目建设情况</w:t>
                  </w:r>
                </w:p>
              </w:tc>
              <w:tc>
                <w:tcPr>
                  <w:tcW w:w="1160"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是否可行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生活污水</w:t>
                  </w:r>
                </w:p>
              </w:tc>
              <w:tc>
                <w:tcPr>
                  <w:tcW w:w="1963"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执行GB18918中一级标准的A标准或更严格标准</w:t>
                  </w:r>
                </w:p>
              </w:tc>
              <w:tc>
                <w:tcPr>
                  <w:tcW w:w="2062"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预处理：格栅、沉淀（沉砂、初沉）、调节</w:t>
                  </w:r>
                </w:p>
              </w:tc>
              <w:tc>
                <w:tcPr>
                  <w:tcW w:w="151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初沉</w:t>
                  </w:r>
                </w:p>
              </w:tc>
              <w:tc>
                <w:tcPr>
                  <w:tcW w:w="1160"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可行</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综上所述，项目污水</w:t>
            </w:r>
            <w:r>
              <w:rPr>
                <w:rFonts w:hint="eastAsia" w:ascii="Times New Roman" w:hAnsi="Times New Roman" w:eastAsia="宋体" w:cs="Times New Roman"/>
                <w:color w:val="auto"/>
                <w:sz w:val="24"/>
                <w:szCs w:val="24"/>
                <w:lang w:val="en-US" w:eastAsia="zh-CN"/>
              </w:rPr>
              <w:t>化粪池</w:t>
            </w:r>
            <w:r>
              <w:rPr>
                <w:rFonts w:hint="default" w:ascii="Times New Roman" w:hAnsi="Times New Roman" w:eastAsia="宋体" w:cs="Times New Roman"/>
                <w:color w:val="auto"/>
                <w:sz w:val="24"/>
                <w:szCs w:val="24"/>
                <w:lang w:val="en-US" w:eastAsia="zh-CN"/>
              </w:rPr>
              <w:t>设计</w:t>
            </w:r>
            <w:r>
              <w:rPr>
                <w:rFonts w:hint="eastAsia" w:ascii="Times New Roman" w:hAnsi="Times New Roman" w:eastAsia="宋体" w:cs="Times New Roman"/>
                <w:color w:val="auto"/>
                <w:sz w:val="24"/>
                <w:szCs w:val="24"/>
                <w:lang w:val="en-US" w:eastAsia="zh-CN"/>
              </w:rPr>
              <w:t>容积不低于80m³</w:t>
            </w:r>
            <w:r>
              <w:rPr>
                <w:rFonts w:hint="default" w:ascii="Times New Roman" w:hAnsi="Times New Roman" w:eastAsia="宋体" w:cs="Times New Roman"/>
                <w:color w:val="auto"/>
                <w:sz w:val="24"/>
                <w:szCs w:val="24"/>
                <w:lang w:val="en-US" w:eastAsia="zh-CN"/>
              </w:rPr>
              <w:t>大于实际废水产生量，且项目废水经</w:t>
            </w:r>
            <w:r>
              <w:rPr>
                <w:rFonts w:hint="eastAsia" w:ascii="Times New Roman" w:hAnsi="Times New Roman" w:eastAsia="宋体" w:cs="Times New Roman"/>
                <w:color w:val="auto"/>
                <w:sz w:val="24"/>
                <w:szCs w:val="24"/>
                <w:lang w:val="en-US" w:eastAsia="zh-CN"/>
              </w:rPr>
              <w:t>化粪池</w:t>
            </w:r>
            <w:r>
              <w:rPr>
                <w:rFonts w:hint="default" w:ascii="Times New Roman" w:hAnsi="Times New Roman" w:eastAsia="宋体" w:cs="Times New Roman"/>
                <w:color w:val="auto"/>
                <w:sz w:val="24"/>
                <w:szCs w:val="24"/>
                <w:lang w:val="en-US" w:eastAsia="zh-CN"/>
              </w:rPr>
              <w:t>处理后，出水水质浓度</w:t>
            </w:r>
            <w:r>
              <w:rPr>
                <w:rFonts w:hint="eastAsia" w:ascii="Times New Roman" w:hAnsi="Times New Roman" w:eastAsia="宋体" w:cs="Times New Roman"/>
                <w:color w:val="auto"/>
                <w:sz w:val="24"/>
                <w:szCs w:val="24"/>
                <w:lang w:val="en-US" w:eastAsia="zh-CN"/>
              </w:rPr>
              <w:t>均</w:t>
            </w:r>
            <w:r>
              <w:rPr>
                <w:rFonts w:hint="default" w:ascii="Times New Roman" w:hAnsi="Times New Roman" w:eastAsia="宋体" w:cs="Times New Roman"/>
                <w:color w:val="auto"/>
                <w:sz w:val="24"/>
                <w:szCs w:val="24"/>
                <w:lang w:val="en-US" w:eastAsia="zh-CN"/>
              </w:rPr>
              <w:t>能达到《污水综合排放标准》三级标准要求，</w:t>
            </w:r>
            <w:r>
              <w:rPr>
                <w:rFonts w:hint="eastAsia" w:ascii="Times New Roman" w:hAnsi="Times New Roman" w:eastAsia="宋体" w:cs="Times New Roman"/>
                <w:color w:val="auto"/>
                <w:sz w:val="24"/>
                <w:szCs w:val="24"/>
                <w:lang w:val="en-US" w:eastAsia="zh-CN"/>
              </w:rPr>
              <w:t>根据《排污许可证申请与核发技术规范 水处理（试行）》（HJ978-2018），项目处理工艺为可行技术，</w:t>
            </w:r>
            <w:r>
              <w:rPr>
                <w:rFonts w:hint="default" w:ascii="Times New Roman" w:hAnsi="Times New Roman" w:eastAsia="宋体" w:cs="Times New Roman"/>
                <w:color w:val="auto"/>
                <w:sz w:val="24"/>
                <w:szCs w:val="24"/>
                <w:lang w:val="en-US" w:eastAsia="zh-CN"/>
              </w:rPr>
              <w:t>故本项目废水治理措施可行。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②排放方式可行性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项目为布草洗涤，项目废水属于城镇污水中商业服务机构排水，项目废水主要以洗涤废水为主，污染物主要包括pH、COD、BOD</w:t>
            </w:r>
            <w:r>
              <w:rPr>
                <w:rFonts w:hint="default" w:ascii="Times New Roman" w:hAnsi="Times New Roman" w:eastAsia="宋体" w:cs="Times New Roman"/>
                <w:color w:val="auto"/>
                <w:sz w:val="24"/>
                <w:szCs w:val="24"/>
                <w:vertAlign w:val="subscript"/>
                <w:lang w:val="en-US" w:eastAsia="zh-CN"/>
              </w:rPr>
              <w:t>5</w:t>
            </w:r>
            <w:r>
              <w:rPr>
                <w:rFonts w:hint="default" w:ascii="Times New Roman" w:hAnsi="Times New Roman" w:eastAsia="宋体" w:cs="Times New Roman"/>
                <w:color w:val="auto"/>
                <w:sz w:val="24"/>
                <w:szCs w:val="24"/>
                <w:lang w:val="en-US" w:eastAsia="zh-CN"/>
              </w:rPr>
              <w:t>、氨氮、总磷、SS、动植物油、阴离子表面活性剂，项目废水成分简单，不含重金属及其他有机污染物。项目废水排放满足《污水综合排放标准》适用范围要求。故本项目排入市政污水管网方式可行。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w:t>
            </w:r>
            <w:r>
              <w:rPr>
                <w:rFonts w:hint="eastAsia" w:ascii="Times New Roman" w:hAnsi="Times New Roman" w:eastAsia="宋体" w:cs="Times New Roman"/>
                <w:color w:val="auto"/>
                <w:sz w:val="24"/>
                <w:szCs w:val="24"/>
                <w:lang w:val="en-US" w:eastAsia="zh-CN"/>
              </w:rPr>
              <w:t>项目污水排入牛街乡污水处理厂进行处理</w:t>
            </w:r>
            <w:r>
              <w:rPr>
                <w:rFonts w:hint="default" w:ascii="Times New Roman" w:hAnsi="Times New Roman" w:eastAsia="宋体" w:cs="Times New Roman"/>
                <w:color w:val="auto"/>
                <w:sz w:val="24"/>
                <w:szCs w:val="24"/>
                <w:lang w:val="en-US" w:eastAsia="zh-CN"/>
              </w:rPr>
              <w:t>可行性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项目产生的生活污水、生产废水经化粪池处理达标后，排入市政污水管网，最终进入牛街乡污水处理厂进行处理。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牛街乡污水处理厂一期于2017年7月建设，2019年1月投产运营，二期于2019年5月建设，2020年5月投产运营，牛街乡污水处理厂位于洱源县牛街乡文登村。一期处理规模为1000m³/d，二期处理规模1000m³/d，污水处理采用A</w:t>
            </w:r>
            <w:r>
              <w:rPr>
                <w:rFonts w:hint="eastAsia" w:ascii="Times New Roman" w:hAnsi="Times New Roman" w:eastAsia="宋体" w:cs="Times New Roman"/>
                <w:color w:val="auto"/>
                <w:sz w:val="24"/>
                <w:szCs w:val="24"/>
                <w:vertAlign w:val="superscript"/>
                <w:lang w:val="en-US" w:eastAsia="zh-CN"/>
              </w:rPr>
              <w:t>2</w:t>
            </w:r>
            <w:r>
              <w:rPr>
                <w:rFonts w:hint="eastAsia" w:ascii="Times New Roman" w:hAnsi="Times New Roman" w:eastAsia="宋体" w:cs="Times New Roman"/>
                <w:color w:val="auto"/>
                <w:sz w:val="24"/>
                <w:szCs w:val="24"/>
                <w:lang w:val="en-US" w:eastAsia="zh-CN"/>
              </w:rPr>
              <w:t>O+MBR工艺，出水水质满足《城镇污水处理厂污染物排放标准》（GB18918-2002）一级A标，现有处理量为1800m³/d，本项目最大外排废水量为80m³/d，不会超过该厂处理规模，且2024年9月05日项目已取得洱源县住房和城乡建设局《城镇污水排入排水管网许可证》（见附件），许可排放量为80m³/d，项目污水进入牛街乡污水处理厂可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4</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sz w:val="24"/>
                <w:szCs w:val="24"/>
                <w:lang w:val="en-US" w:eastAsia="zh-CN"/>
              </w:rPr>
              <w:t>非正常排放污染物情况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项目运营期非正常排放主要指</w:t>
            </w:r>
            <w:r>
              <w:rPr>
                <w:rFonts w:hint="eastAsia" w:ascii="Times New Roman" w:hAnsi="Times New Roman" w:eastAsia="宋体" w:cs="Times New Roman"/>
                <w:color w:val="auto"/>
                <w:sz w:val="24"/>
                <w:szCs w:val="24"/>
                <w:lang w:val="en-US" w:eastAsia="zh-CN"/>
              </w:rPr>
              <w:t>化粪池处理效率降低</w:t>
            </w:r>
            <w:r>
              <w:rPr>
                <w:rFonts w:hint="default" w:ascii="Times New Roman" w:hAnsi="Times New Roman" w:eastAsia="宋体" w:cs="Times New Roman"/>
                <w:color w:val="auto"/>
                <w:sz w:val="24"/>
                <w:szCs w:val="24"/>
                <w:lang w:val="en-US" w:eastAsia="zh-CN"/>
              </w:rPr>
              <w:t>，短时间内未能及时恢复工作，而生产废水又持续产生，</w:t>
            </w:r>
            <w:r>
              <w:rPr>
                <w:rFonts w:hint="eastAsia" w:ascii="Times New Roman" w:hAnsi="Times New Roman" w:eastAsia="宋体" w:cs="Times New Roman"/>
                <w:color w:val="auto"/>
                <w:sz w:val="24"/>
                <w:szCs w:val="24"/>
                <w:lang w:val="en-US" w:eastAsia="zh-CN"/>
              </w:rPr>
              <w:t>应立即停产，将化粪池进行清掏处理后再投入使用，</w:t>
            </w:r>
            <w:r>
              <w:rPr>
                <w:rFonts w:hint="default" w:ascii="Times New Roman" w:hAnsi="Times New Roman" w:eastAsia="宋体" w:cs="Times New Roman"/>
                <w:color w:val="auto"/>
                <w:sz w:val="24"/>
                <w:szCs w:val="24"/>
                <w:lang w:val="en-US" w:eastAsia="zh-CN"/>
              </w:rPr>
              <w:t>不会对周围地表水体造成污染。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5</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sz w:val="24"/>
                <w:szCs w:val="24"/>
                <w:lang w:val="en-US" w:eastAsia="zh-CN"/>
              </w:rPr>
              <w:t>地表水环境影响分析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w:t>
            </w:r>
            <w:r>
              <w:rPr>
                <w:rFonts w:hint="eastAsia" w:ascii="Times New Roman" w:hAnsi="Times New Roman" w:eastAsia="宋体" w:cs="Times New Roman"/>
                <w:color w:val="auto"/>
                <w:sz w:val="24"/>
                <w:szCs w:val="24"/>
                <w:lang w:val="en-US" w:eastAsia="zh-CN"/>
              </w:rPr>
              <w:t>满负荷时生产废水产生量为78.3m³，生产区化粪池容积不得低于80m³</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项目生活污水产生量为0.784m³，生活区化粪池容积为4m³，</w:t>
            </w:r>
            <w:r>
              <w:rPr>
                <w:rFonts w:hint="default" w:ascii="Times New Roman" w:hAnsi="Times New Roman" w:eastAsia="宋体" w:cs="Times New Roman"/>
                <w:color w:val="auto"/>
                <w:sz w:val="24"/>
                <w:szCs w:val="24"/>
                <w:lang w:val="en-US" w:eastAsia="zh-CN"/>
              </w:rPr>
              <w:t>项目</w:t>
            </w:r>
            <w:r>
              <w:rPr>
                <w:rFonts w:hint="eastAsia" w:ascii="Times New Roman" w:hAnsi="Times New Roman" w:eastAsia="宋体" w:cs="Times New Roman"/>
                <w:color w:val="auto"/>
                <w:sz w:val="24"/>
                <w:szCs w:val="24"/>
                <w:lang w:val="en-US" w:eastAsia="zh-CN"/>
              </w:rPr>
              <w:t>设计生产区及生活区</w:t>
            </w:r>
            <w:r>
              <w:rPr>
                <w:rFonts w:hint="default" w:ascii="Times New Roman" w:hAnsi="Times New Roman" w:eastAsia="宋体" w:cs="Times New Roman"/>
                <w:color w:val="auto"/>
                <w:sz w:val="24"/>
                <w:szCs w:val="24"/>
                <w:lang w:val="en-US" w:eastAsia="zh-CN"/>
              </w:rPr>
              <w:t>污水处理</w:t>
            </w:r>
            <w:r>
              <w:rPr>
                <w:rFonts w:hint="eastAsia" w:ascii="Times New Roman" w:hAnsi="Times New Roman" w:eastAsia="宋体" w:cs="Times New Roman"/>
                <w:color w:val="auto"/>
                <w:sz w:val="24"/>
                <w:szCs w:val="24"/>
                <w:lang w:val="en-US" w:eastAsia="zh-CN"/>
              </w:rPr>
              <w:t>规模</w:t>
            </w:r>
            <w:r>
              <w:rPr>
                <w:rFonts w:hint="default" w:ascii="Times New Roman" w:hAnsi="Times New Roman" w:eastAsia="宋体" w:cs="Times New Roman"/>
                <w:color w:val="auto"/>
                <w:sz w:val="24"/>
                <w:szCs w:val="24"/>
                <w:lang w:val="en-US" w:eastAsia="zh-CN"/>
              </w:rPr>
              <w:t>能满足项目每天废水产生量。污水处理之后水质达《污水综合排放标准》</w:t>
            </w:r>
            <w:r>
              <w:rPr>
                <w:rFonts w:hint="eastAsia" w:ascii="Times New Roman" w:hAnsi="Times New Roman" w:eastAsia="宋体" w:cs="Times New Roman"/>
                <w:color w:val="auto"/>
                <w:sz w:val="24"/>
                <w:szCs w:val="24"/>
                <w:lang w:val="en-US" w:eastAsia="zh-CN"/>
              </w:rPr>
              <w:t>（GB8978-1996）三级标准要求，项目废水</w:t>
            </w:r>
            <w:r>
              <w:rPr>
                <w:rFonts w:hint="default" w:ascii="Times New Roman" w:hAnsi="Times New Roman" w:eastAsia="宋体" w:cs="Times New Roman"/>
                <w:color w:val="auto"/>
                <w:sz w:val="24"/>
                <w:szCs w:val="24"/>
                <w:lang w:val="en-US" w:eastAsia="zh-CN"/>
              </w:rPr>
              <w:t>排入市政污水管网中，不会对周边地表水体造成污染。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2"/>
                <w:sz w:val="24"/>
                <w:szCs w:val="24"/>
                <w:lang w:val="en-US" w:eastAsia="zh-CN" w:bidi="ar-SA"/>
              </w:rPr>
              <w:t>6</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sz w:val="24"/>
                <w:szCs w:val="24"/>
                <w:lang w:val="en-US" w:eastAsia="zh-CN"/>
              </w:rPr>
              <w:t>污水监测计划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lang w:val="en-US" w:eastAsia="zh-CN"/>
              </w:rPr>
            </w:pPr>
            <w:r>
              <w:rPr>
                <w:rFonts w:hint="default" w:ascii="Times New Roman" w:hAnsi="Times New Roman" w:eastAsia="宋体" w:cs="Times New Roman"/>
                <w:color w:val="auto"/>
                <w:sz w:val="24"/>
                <w:szCs w:val="24"/>
                <w:lang w:val="en-US" w:eastAsia="zh-CN"/>
              </w:rPr>
              <w:t>根据《排污许可证申请与核发技术规范 总则》（HJ942-2018）、《排污单位自行监测技术指南 总则》（HJ819-2017），污水监测计划见下表。</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表4-</w:t>
            </w:r>
            <w:r>
              <w:rPr>
                <w:rFonts w:hint="eastAsia" w:ascii="Times New Roman" w:hAnsi="Times New Roman" w:eastAsia="宋体" w:cs="Times New Roman"/>
                <w:b/>
                <w:bCs/>
                <w:color w:val="auto"/>
                <w:sz w:val="21"/>
                <w:szCs w:val="21"/>
                <w:lang w:val="en-US" w:eastAsia="zh-CN"/>
              </w:rPr>
              <w:t>13</w:t>
            </w:r>
            <w:r>
              <w:rPr>
                <w:rFonts w:hint="default" w:ascii="Times New Roman" w:hAnsi="Times New Roman" w:eastAsia="宋体" w:cs="Times New Roman"/>
                <w:b/>
                <w:bCs/>
                <w:color w:val="auto"/>
                <w:sz w:val="21"/>
                <w:szCs w:val="21"/>
                <w:lang w:val="en-US" w:eastAsia="zh-CN"/>
              </w:rPr>
              <w:t xml:space="preserve">  项目污水监测计划表</w:t>
            </w:r>
          </w:p>
          <w:tbl>
            <w:tblPr>
              <w:tblStyle w:val="7"/>
              <w:tblW w:w="7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2755"/>
              <w:gridCol w:w="1048"/>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5"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监测点位</w:t>
                  </w:r>
                </w:p>
              </w:tc>
              <w:tc>
                <w:tcPr>
                  <w:tcW w:w="2755"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监测指标</w:t>
                  </w:r>
                </w:p>
              </w:tc>
              <w:tc>
                <w:tcPr>
                  <w:tcW w:w="1048"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监测频次</w:t>
                  </w:r>
                </w:p>
              </w:tc>
              <w:tc>
                <w:tcPr>
                  <w:tcW w:w="2883"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执行污染物排放标准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污水总排放口</w:t>
                  </w:r>
                </w:p>
              </w:tc>
              <w:tc>
                <w:tcPr>
                  <w:tcW w:w="275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COD、BOD</w:t>
                  </w:r>
                  <w:r>
                    <w:rPr>
                      <w:rFonts w:hint="eastAsia" w:ascii="Times New Roman" w:hAnsi="Times New Roman" w:eastAsia="宋体" w:cs="Times New Roman"/>
                      <w:color w:val="auto"/>
                      <w:sz w:val="21"/>
                      <w:szCs w:val="21"/>
                      <w:vertAlign w:val="subscript"/>
                      <w:lang w:val="en-US" w:eastAsia="zh-CN"/>
                    </w:rPr>
                    <w:t>5</w:t>
                  </w:r>
                  <w:r>
                    <w:rPr>
                      <w:rFonts w:hint="default" w:ascii="Times New Roman" w:hAnsi="Times New Roman" w:eastAsia="宋体" w:cs="Times New Roman"/>
                      <w:color w:val="auto"/>
                      <w:sz w:val="21"/>
                      <w:szCs w:val="21"/>
                      <w:vertAlign w:val="baseline"/>
                      <w:lang w:val="en-US" w:eastAsia="zh-CN"/>
                    </w:rPr>
                    <w:t>、SS、氨氮、总磷、阴离子表面活性剂</w:t>
                  </w:r>
                </w:p>
              </w:tc>
              <w:tc>
                <w:tcPr>
                  <w:tcW w:w="104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每年至少1次</w:t>
                  </w:r>
                </w:p>
              </w:tc>
              <w:tc>
                <w:tcPr>
                  <w:tcW w:w="2883"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《污水综合排放标准》（GB8978-1996）中三级标准</w:t>
                  </w:r>
                </w:p>
              </w:tc>
            </w:tr>
          </w:tbl>
          <w:p>
            <w:pPr>
              <w:bidi w:val="0"/>
              <w:rPr>
                <w:rFonts w:hint="default"/>
                <w:color w:val="auto"/>
                <w:lang w:val="en-US" w:eastAsia="zh-CN"/>
              </w:rPr>
            </w:pP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固废</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固废产生情况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项目运营期固体废物主要来源于员工生活垃圾、生物质锅炉产生的炉渣、</w:t>
            </w:r>
            <w:r>
              <w:rPr>
                <w:rFonts w:hint="eastAsia" w:ascii="Times New Roman" w:hAnsi="Times New Roman" w:eastAsia="宋体" w:cs="Times New Roman"/>
                <w:color w:val="auto"/>
                <w:sz w:val="24"/>
                <w:szCs w:val="24"/>
                <w:lang w:val="en-US" w:eastAsia="zh-CN"/>
              </w:rPr>
              <w:t>水膜除尘器污泥、化粪池</w:t>
            </w:r>
            <w:r>
              <w:rPr>
                <w:rFonts w:hint="default" w:ascii="Times New Roman" w:hAnsi="Times New Roman" w:eastAsia="宋体" w:cs="Times New Roman"/>
                <w:color w:val="auto"/>
                <w:sz w:val="24"/>
                <w:szCs w:val="24"/>
                <w:lang w:val="en-US" w:eastAsia="zh-CN"/>
              </w:rPr>
              <w:t>污泥以及打包时产生的废包装。</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生活垃圾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项目运营期劳动定员</w:t>
            </w:r>
            <w:r>
              <w:rPr>
                <w:rFonts w:hint="eastAsia" w:ascii="Times New Roman" w:hAnsi="Times New Roman" w:eastAsia="宋体"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人，生活垃圾产生量约每人0.5kg/d，生活垃圾产生量为</w:t>
            </w:r>
            <w:r>
              <w:rPr>
                <w:rFonts w:hint="eastAsia" w:ascii="Times New Roman" w:hAnsi="Times New Roman" w:eastAsia="宋体" w:cs="Times New Roman"/>
                <w:color w:val="auto"/>
                <w:sz w:val="24"/>
                <w:szCs w:val="24"/>
                <w:lang w:val="en-US" w:eastAsia="zh-CN"/>
              </w:rPr>
              <w:t>7.5</w:t>
            </w:r>
            <w:r>
              <w:rPr>
                <w:rFonts w:hint="default" w:ascii="Times New Roman" w:hAnsi="Times New Roman" w:eastAsia="宋体" w:cs="Times New Roman"/>
                <w:color w:val="auto"/>
                <w:sz w:val="24"/>
                <w:szCs w:val="24"/>
                <w:lang w:val="en-US" w:eastAsia="zh-CN"/>
              </w:rPr>
              <w:t>kg/d，</w:t>
            </w:r>
            <w:r>
              <w:rPr>
                <w:rFonts w:hint="eastAsia" w:ascii="Times New Roman" w:hAnsi="Times New Roman" w:eastAsia="宋体" w:cs="Times New Roman"/>
                <w:color w:val="auto"/>
                <w:sz w:val="24"/>
                <w:szCs w:val="24"/>
                <w:lang w:val="en-US" w:eastAsia="zh-CN"/>
              </w:rPr>
              <w:t>2.7</w:t>
            </w:r>
            <w:r>
              <w:rPr>
                <w:rFonts w:hint="default" w:ascii="Times New Roman" w:hAnsi="Times New Roman" w:eastAsia="宋体" w:cs="Times New Roman"/>
                <w:color w:val="auto"/>
                <w:sz w:val="24"/>
                <w:szCs w:val="24"/>
                <w:lang w:val="en-US" w:eastAsia="zh-CN"/>
              </w:rPr>
              <w:t>t/a，生活垃圾统一收集后交由当地环卫部门清运处理。</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废炉渣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生物质燃料燃尽之后产生的炉灰炉渣，不含有毒有害成分，为一般固废。</w:t>
            </w:r>
            <w:r>
              <w:rPr>
                <w:rFonts w:hint="eastAsia" w:ascii="Times New Roman" w:hAnsi="Times New Roman" w:eastAsia="宋体" w:cs="Times New Roman"/>
                <w:color w:val="auto"/>
                <w:sz w:val="24"/>
                <w:szCs w:val="24"/>
                <w:lang w:val="en-US" w:eastAsia="zh-CN"/>
              </w:rPr>
              <w:t>参照环境统计手册燃煤锅炉</w:t>
            </w:r>
            <w:r>
              <w:rPr>
                <w:rFonts w:hint="default" w:ascii="Times New Roman" w:hAnsi="Times New Roman" w:eastAsia="宋体" w:cs="Times New Roman"/>
                <w:color w:val="auto"/>
                <w:sz w:val="24"/>
                <w:szCs w:val="24"/>
                <w:lang w:val="en-US" w:eastAsia="zh-CN"/>
              </w:rPr>
              <w:t>炉渣产生量</w:t>
            </w:r>
            <w:r>
              <w:rPr>
                <w:rFonts w:hint="eastAsia" w:ascii="Times New Roman" w:hAnsi="Times New Roman" w:eastAsia="宋体" w:cs="Times New Roman"/>
                <w:color w:val="auto"/>
                <w:sz w:val="24"/>
                <w:szCs w:val="24"/>
                <w:lang w:val="en-US" w:eastAsia="zh-CN"/>
              </w:rPr>
              <w:t>计算，项目</w:t>
            </w:r>
            <w:r>
              <w:rPr>
                <w:rFonts w:hint="default" w:ascii="Times New Roman" w:hAnsi="Times New Roman" w:eastAsia="宋体" w:cs="Times New Roman"/>
                <w:color w:val="auto"/>
                <w:sz w:val="24"/>
                <w:szCs w:val="24"/>
                <w:lang w:val="en-US" w:eastAsia="zh-CN"/>
              </w:rPr>
              <w:t>锅炉生物质燃料消耗量约</w:t>
            </w:r>
            <w:r>
              <w:rPr>
                <w:rFonts w:hint="eastAsia" w:ascii="Times New Roman" w:hAnsi="Times New Roman" w:eastAsia="宋体" w:cs="Times New Roman"/>
                <w:color w:val="auto"/>
                <w:sz w:val="24"/>
                <w:szCs w:val="24"/>
                <w:lang w:val="en-US" w:eastAsia="zh-CN"/>
              </w:rPr>
              <w:t>1152</w:t>
            </w:r>
            <w:r>
              <w:rPr>
                <w:rFonts w:hint="default" w:ascii="Times New Roman" w:hAnsi="Times New Roman" w:eastAsia="宋体" w:cs="Times New Roman"/>
                <w:color w:val="auto"/>
                <w:sz w:val="24"/>
                <w:szCs w:val="24"/>
                <w:lang w:val="en-US" w:eastAsia="zh-CN"/>
              </w:rPr>
              <w:t>t/a，</w:t>
            </w:r>
            <w:r>
              <w:rPr>
                <w:rFonts w:hint="eastAsia" w:ascii="Times New Roman" w:hAnsi="Times New Roman" w:eastAsia="宋体" w:cs="Times New Roman"/>
                <w:color w:val="auto"/>
                <w:sz w:val="24"/>
                <w:szCs w:val="24"/>
                <w:lang w:val="en-US" w:eastAsia="zh-CN"/>
              </w:rPr>
              <w:t>计算公式见下式；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Glz=B×A×dlz/（1-Clz）</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式中：Glz--炉渣产生量，t/a</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-耗</w:t>
            </w:r>
            <w:r>
              <w:rPr>
                <w:rFonts w:hint="eastAsia" w:ascii="Times New Roman" w:hAnsi="Times New Roman" w:eastAsia="宋体" w:cs="Times New Roman"/>
                <w:color w:val="auto"/>
                <w:lang w:val="en-US" w:eastAsia="zh-CN"/>
              </w:rPr>
              <w:t>生物质</w:t>
            </w:r>
            <w:r>
              <w:rPr>
                <w:rFonts w:hint="default" w:ascii="Times New Roman" w:hAnsi="Times New Roman" w:eastAsia="宋体" w:cs="Times New Roman"/>
                <w:color w:val="auto"/>
                <w:lang w:val="en-US" w:eastAsia="zh-CN"/>
              </w:rPr>
              <w:t>量，t/a；</w:t>
            </w:r>
          </w:p>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生物质</w:t>
            </w:r>
            <w:r>
              <w:rPr>
                <w:rFonts w:hint="default" w:ascii="Times New Roman" w:hAnsi="Times New Roman" w:eastAsia="宋体" w:cs="Times New Roman"/>
                <w:color w:val="auto"/>
                <w:lang w:val="en-US" w:eastAsia="zh-CN"/>
              </w:rPr>
              <w:t>的灰分，</w:t>
            </w:r>
            <w:r>
              <w:rPr>
                <w:rFonts w:hint="eastAsia" w:ascii="Times New Roman" w:hAnsi="Times New Roman" w:eastAsia="宋体" w:cs="Times New Roman"/>
                <w:color w:val="auto"/>
                <w:lang w:val="en-US" w:eastAsia="zh-CN"/>
              </w:rPr>
              <w:t>1.6</w:t>
            </w:r>
            <w:r>
              <w:rPr>
                <w:rFonts w:hint="default" w:ascii="Times New Roman" w:hAnsi="Times New Roman" w:eastAsia="宋体" w:cs="Times New Roman"/>
                <w:color w:va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d</w:t>
            </w:r>
            <w:r>
              <w:rPr>
                <w:rFonts w:hint="default" w:ascii="Times New Roman" w:hAnsi="Times New Roman" w:eastAsia="宋体" w:cs="Times New Roman"/>
                <w:color w:val="auto"/>
                <w:lang w:val="en-US" w:eastAsia="zh-CN"/>
              </w:rPr>
              <w:t>lz--炉渣中的灰分占燃煤总灰分的百分数，取35%；</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olor w:val="auto"/>
                <w:lang w:val="en-US" w:eastAsia="zh-CN"/>
              </w:rPr>
            </w:pPr>
            <w:r>
              <w:rPr>
                <w:rFonts w:hint="default" w:ascii="Times New Roman" w:hAnsi="Times New Roman" w:eastAsia="宋体" w:cs="Times New Roman"/>
                <w:color w:val="auto"/>
                <w:lang w:val="en-US" w:eastAsia="zh-CN"/>
              </w:rPr>
              <w:t>Clz--炉渣可燃物含量，取20%（10-25%）；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经上式计算，炉渣产生量为8.11</w:t>
            </w:r>
            <w:r>
              <w:rPr>
                <w:rFonts w:hint="default" w:ascii="Times New Roman" w:hAnsi="Times New Roman" w:eastAsia="宋体" w:cs="Times New Roman"/>
                <w:color w:val="auto"/>
                <w:sz w:val="24"/>
                <w:szCs w:val="24"/>
                <w:lang w:val="en-US" w:eastAsia="zh-CN"/>
              </w:rPr>
              <w:t>t/a，锅炉炉渣定期清理收集，由农户运出作农肥。</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水膜除尘器灰渣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生物质燃料燃烧过程中产生烟尘，项目采用</w:t>
            </w:r>
            <w:r>
              <w:rPr>
                <w:rFonts w:hint="eastAsia" w:ascii="Times New Roman" w:hAnsi="Times New Roman" w:eastAsia="宋体" w:cs="Times New Roman"/>
                <w:color w:val="auto"/>
                <w:sz w:val="24"/>
                <w:szCs w:val="24"/>
                <w:lang w:val="en-US" w:eastAsia="zh-CN"/>
              </w:rPr>
              <w:t>水膜</w:t>
            </w:r>
            <w:r>
              <w:rPr>
                <w:rFonts w:hint="default" w:ascii="Times New Roman" w:hAnsi="Times New Roman" w:eastAsia="宋体" w:cs="Times New Roman"/>
                <w:color w:val="auto"/>
                <w:sz w:val="24"/>
                <w:szCs w:val="24"/>
                <w:lang w:val="en-US" w:eastAsia="zh-CN"/>
              </w:rPr>
              <w:t>除尘器</w:t>
            </w:r>
            <w:r>
              <w:rPr>
                <w:rFonts w:hint="eastAsia" w:ascii="Times New Roman" w:hAnsi="Times New Roman" w:eastAsia="宋体" w:cs="Times New Roman"/>
                <w:color w:val="auto"/>
                <w:sz w:val="24"/>
                <w:szCs w:val="24"/>
                <w:lang w:val="en-US" w:eastAsia="zh-CN"/>
              </w:rPr>
              <w:t>将灰渣进行拦截</w:t>
            </w:r>
            <w:r>
              <w:rPr>
                <w:rFonts w:hint="default" w:ascii="Times New Roman" w:hAnsi="Times New Roman" w:eastAsia="宋体" w:cs="Times New Roman"/>
                <w:color w:val="auto"/>
                <w:sz w:val="24"/>
                <w:szCs w:val="24"/>
                <w:lang w:val="en-US" w:eastAsia="zh-CN"/>
              </w:rPr>
              <w:t>，除尘效率达</w:t>
            </w:r>
            <w:r>
              <w:rPr>
                <w:rFonts w:hint="eastAsia" w:ascii="Times New Roman" w:hAnsi="Times New Roman" w:eastAsia="宋体" w:cs="Times New Roman"/>
                <w:color w:val="auto"/>
                <w:sz w:val="24"/>
                <w:szCs w:val="24"/>
                <w:lang w:val="en-US" w:eastAsia="zh-CN"/>
              </w:rPr>
              <w:t>87.0</w:t>
            </w:r>
            <w:r>
              <w:rPr>
                <w:rFonts w:hint="default" w:ascii="Times New Roman" w:hAnsi="Times New Roman" w:eastAsia="宋体" w:cs="Times New Roman"/>
                <w:color w:val="auto"/>
                <w:sz w:val="24"/>
                <w:szCs w:val="24"/>
                <w:lang w:val="en-US" w:eastAsia="zh-CN"/>
              </w:rPr>
              <w:t>%，经计算项目燃烧过程中产生的烟尘量为</w:t>
            </w:r>
            <w:r>
              <w:rPr>
                <w:rFonts w:hint="eastAsia" w:ascii="Times New Roman" w:hAnsi="Times New Roman" w:eastAsia="宋体" w:cs="Times New Roman"/>
                <w:color w:val="auto"/>
                <w:sz w:val="24"/>
                <w:szCs w:val="24"/>
                <w:lang w:val="en-US" w:eastAsia="zh-CN"/>
              </w:rPr>
              <w:t>0.58</w:t>
            </w:r>
            <w:r>
              <w:rPr>
                <w:rFonts w:hint="default" w:ascii="Times New Roman" w:hAnsi="Times New Roman" w:eastAsia="宋体" w:cs="Times New Roman"/>
                <w:color w:val="auto"/>
                <w:sz w:val="24"/>
                <w:szCs w:val="24"/>
                <w:lang w:val="en-US" w:eastAsia="zh-CN"/>
              </w:rPr>
              <w:t>t/a，则经</w:t>
            </w:r>
            <w:r>
              <w:rPr>
                <w:rFonts w:hint="eastAsia" w:ascii="Times New Roman" w:hAnsi="Times New Roman" w:eastAsia="宋体" w:cs="Times New Roman"/>
                <w:color w:val="auto"/>
                <w:sz w:val="24"/>
                <w:szCs w:val="24"/>
                <w:lang w:val="en-US" w:eastAsia="zh-CN"/>
              </w:rPr>
              <w:t>水膜</w:t>
            </w:r>
            <w:r>
              <w:rPr>
                <w:rFonts w:hint="default" w:ascii="Times New Roman" w:hAnsi="Times New Roman" w:eastAsia="宋体" w:cs="Times New Roman"/>
                <w:color w:val="auto"/>
                <w:sz w:val="24"/>
                <w:szCs w:val="24"/>
                <w:lang w:val="en-US" w:eastAsia="zh-CN"/>
              </w:rPr>
              <w:t>除尘器收集量为</w:t>
            </w:r>
            <w:r>
              <w:rPr>
                <w:rFonts w:hint="eastAsia" w:ascii="Times New Roman" w:hAnsi="Times New Roman" w:eastAsia="宋体" w:cs="Times New Roman"/>
                <w:color w:val="auto"/>
                <w:sz w:val="24"/>
                <w:szCs w:val="24"/>
                <w:lang w:val="en-US" w:eastAsia="zh-CN"/>
              </w:rPr>
              <w:t>0.505</w:t>
            </w:r>
            <w:r>
              <w:rPr>
                <w:rFonts w:hint="default" w:ascii="Times New Roman" w:hAnsi="Times New Roman" w:eastAsia="宋体" w:cs="Times New Roman"/>
                <w:color w:val="auto"/>
                <w:sz w:val="24"/>
                <w:szCs w:val="24"/>
                <w:lang w:val="en-US" w:eastAsia="zh-CN"/>
              </w:rPr>
              <w:t>t/a。</w:t>
            </w:r>
            <w:r>
              <w:rPr>
                <w:rFonts w:hint="eastAsia" w:ascii="Times New Roman" w:hAnsi="Times New Roman" w:eastAsia="宋体" w:cs="Times New Roman"/>
                <w:color w:val="auto"/>
                <w:sz w:val="24"/>
                <w:szCs w:val="24"/>
                <w:lang w:val="en-US" w:eastAsia="zh-CN"/>
              </w:rPr>
              <w:t>此类固废与锅炉炉渣定期清理收集，由农户运出作农肥。</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化粪池</w:t>
            </w:r>
            <w:r>
              <w:rPr>
                <w:rFonts w:hint="default" w:ascii="Times New Roman" w:hAnsi="Times New Roman" w:eastAsia="宋体" w:cs="Times New Roman"/>
                <w:color w:val="auto"/>
                <w:sz w:val="24"/>
                <w:szCs w:val="24"/>
                <w:lang w:val="en-US" w:eastAsia="zh-CN"/>
              </w:rPr>
              <w:t>污泥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项目污水经</w:t>
            </w:r>
            <w:r>
              <w:rPr>
                <w:rFonts w:hint="eastAsia" w:ascii="Times New Roman" w:hAnsi="Times New Roman" w:eastAsia="宋体" w:cs="Times New Roman"/>
                <w:color w:val="auto"/>
                <w:sz w:val="24"/>
                <w:szCs w:val="24"/>
                <w:lang w:val="en-US" w:eastAsia="zh-CN"/>
              </w:rPr>
              <w:t>化粪池</w:t>
            </w:r>
            <w:r>
              <w:rPr>
                <w:rFonts w:hint="default" w:ascii="Times New Roman" w:hAnsi="Times New Roman" w:eastAsia="宋体" w:cs="Times New Roman"/>
                <w:color w:val="auto"/>
                <w:sz w:val="24"/>
                <w:szCs w:val="24"/>
                <w:lang w:val="en-US" w:eastAsia="zh-CN"/>
              </w:rPr>
              <w:t>处理后将产生沉渣与污泥，项目废水主要为布草洗涤废水，成分相对简单，主要为布草洗涤过程中产生的脱落物质</w:t>
            </w:r>
            <w:r>
              <w:rPr>
                <w:rFonts w:hint="eastAsia" w:ascii="Times New Roman" w:hAnsi="Times New Roman" w:eastAsia="宋体" w:cs="Times New Roman"/>
                <w:color w:val="auto"/>
                <w:sz w:val="24"/>
                <w:szCs w:val="24"/>
                <w:lang w:val="en-US" w:eastAsia="zh-CN"/>
              </w:rPr>
              <w:t>及生化处理过程中产生的剩余污泥</w:t>
            </w:r>
            <w:r>
              <w:rPr>
                <w:rFonts w:hint="default" w:ascii="Times New Roman" w:hAnsi="Times New Roman" w:eastAsia="宋体" w:cs="Times New Roman"/>
                <w:color w:val="auto"/>
                <w:sz w:val="24"/>
                <w:szCs w:val="24"/>
                <w:lang w:val="en-US" w:eastAsia="zh-CN"/>
              </w:rPr>
              <w:t>，产生的污泥量较小，</w:t>
            </w:r>
            <w:r>
              <w:rPr>
                <w:rFonts w:hint="eastAsia" w:ascii="Times New Roman" w:hAnsi="Times New Roman" w:eastAsia="宋体" w:cs="Times New Roman"/>
                <w:color w:val="auto"/>
                <w:sz w:val="24"/>
                <w:szCs w:val="24"/>
                <w:lang w:val="en-US" w:eastAsia="zh-CN"/>
              </w:rPr>
              <w:t>此类污泥产生量约为0.75kg/m³污水，项目洗涤废水产生量为28598m³/a，则项目污泥产生量约21.4t/a。化粪池污泥含水率低于60%及时清运，不在厂区内长时间停留，污泥委托环卫部门清运处理。项目设置容积为10m³的污泥干化池，污泥经干化后委托环卫部门清运处理。</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包装废物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在运营过程中会有原辅材料废包装袋产生，包括洗衣粉、乳化剂、彩漂粉、柔顺剂的废包装、废瓶。产生量约为原辅材料总量5%，项目年使用量为</w:t>
            </w:r>
            <w:r>
              <w:rPr>
                <w:rFonts w:hint="eastAsia" w:ascii="Times New Roman" w:hAnsi="Times New Roman" w:eastAsia="宋体" w:cs="Times New Roman"/>
                <w:color w:val="auto"/>
                <w:sz w:val="24"/>
                <w:szCs w:val="24"/>
                <w:lang w:val="en-US" w:eastAsia="zh-CN"/>
              </w:rPr>
              <w:t>34.13</w:t>
            </w:r>
            <w:r>
              <w:rPr>
                <w:rFonts w:hint="default" w:ascii="Times New Roman" w:hAnsi="Times New Roman" w:eastAsia="宋体" w:cs="Times New Roman"/>
                <w:color w:val="auto"/>
                <w:sz w:val="24"/>
                <w:szCs w:val="24"/>
                <w:lang w:val="en-US" w:eastAsia="zh-CN"/>
              </w:rPr>
              <w:t>t/a，则废包装产生量为</w:t>
            </w:r>
            <w:r>
              <w:rPr>
                <w:rFonts w:hint="eastAsia" w:ascii="Times New Roman" w:hAnsi="Times New Roman" w:eastAsia="宋体" w:cs="Times New Roman"/>
                <w:color w:val="auto"/>
                <w:sz w:val="24"/>
                <w:szCs w:val="24"/>
                <w:lang w:val="en-US" w:eastAsia="zh-CN"/>
              </w:rPr>
              <w:t>1.7</w:t>
            </w:r>
            <w:r>
              <w:rPr>
                <w:rFonts w:hint="default" w:ascii="Times New Roman" w:hAnsi="Times New Roman" w:eastAsia="宋体" w:cs="Times New Roman"/>
                <w:color w:val="auto"/>
                <w:sz w:val="24"/>
                <w:szCs w:val="24"/>
                <w:lang w:val="en-US" w:eastAsia="zh-CN"/>
              </w:rPr>
              <w:t>t/a，废包装袋统一收集后外售废品回收站。</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表4-</w:t>
            </w:r>
            <w:r>
              <w:rPr>
                <w:rFonts w:hint="eastAsia" w:ascii="Times New Roman" w:hAnsi="Times New Roman" w:eastAsia="宋体" w:cs="Times New Roman"/>
                <w:b/>
                <w:bCs/>
                <w:color w:val="auto"/>
                <w:sz w:val="21"/>
                <w:szCs w:val="21"/>
                <w:lang w:val="en-US" w:eastAsia="zh-CN"/>
              </w:rPr>
              <w:t>14</w:t>
            </w:r>
            <w:r>
              <w:rPr>
                <w:rFonts w:hint="default" w:ascii="Times New Roman" w:hAnsi="Times New Roman" w:eastAsia="宋体" w:cs="Times New Roman"/>
                <w:b/>
                <w:bCs/>
                <w:color w:val="auto"/>
                <w:sz w:val="21"/>
                <w:szCs w:val="21"/>
                <w:lang w:val="en-US" w:eastAsia="zh-CN"/>
              </w:rPr>
              <w:t xml:space="preserve">  项目固体废物产排情况一览表</w:t>
            </w:r>
          </w:p>
          <w:tbl>
            <w:tblPr>
              <w:tblStyle w:val="7"/>
              <w:tblW w:w="7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16"/>
              <w:gridCol w:w="716"/>
              <w:gridCol w:w="716"/>
              <w:gridCol w:w="716"/>
              <w:gridCol w:w="716"/>
              <w:gridCol w:w="717"/>
              <w:gridCol w:w="717"/>
              <w:gridCol w:w="717"/>
              <w:gridCol w:w="717"/>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产生环节</w:t>
                  </w:r>
                </w:p>
              </w:tc>
              <w:tc>
                <w:tcPr>
                  <w:tcW w:w="716" w:type="dxa"/>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固废名称</w:t>
                  </w:r>
                </w:p>
              </w:tc>
              <w:tc>
                <w:tcPr>
                  <w:tcW w:w="716" w:type="dxa"/>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属性</w:t>
                  </w:r>
                </w:p>
              </w:tc>
              <w:tc>
                <w:tcPr>
                  <w:tcW w:w="716" w:type="dxa"/>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主要有毒有害物质</w:t>
                  </w:r>
                </w:p>
              </w:tc>
              <w:tc>
                <w:tcPr>
                  <w:tcW w:w="716" w:type="dxa"/>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物理性状</w:t>
                  </w:r>
                </w:p>
              </w:tc>
              <w:tc>
                <w:tcPr>
                  <w:tcW w:w="716" w:type="dxa"/>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环境危险特性</w:t>
                  </w:r>
                </w:p>
              </w:tc>
              <w:tc>
                <w:tcPr>
                  <w:tcW w:w="717" w:type="dxa"/>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年度产生量（t/a）</w:t>
                  </w:r>
                </w:p>
              </w:tc>
              <w:tc>
                <w:tcPr>
                  <w:tcW w:w="717" w:type="dxa"/>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贮存方式</w:t>
                  </w:r>
                </w:p>
              </w:tc>
              <w:tc>
                <w:tcPr>
                  <w:tcW w:w="717" w:type="dxa"/>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利用处置方式和去向</w:t>
                  </w:r>
                </w:p>
              </w:tc>
              <w:tc>
                <w:tcPr>
                  <w:tcW w:w="717" w:type="dxa"/>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利用或处置量（t/a）</w:t>
                  </w:r>
                </w:p>
              </w:tc>
              <w:tc>
                <w:tcPr>
                  <w:tcW w:w="717" w:type="dxa"/>
                  <w:vAlign w:val="center"/>
                </w:tcPr>
                <w:p>
                  <w:pPr>
                    <w:bidi w:val="0"/>
                    <w:jc w:val="center"/>
                    <w:rPr>
                      <w:rFonts w:hint="default" w:ascii="Times New Roman" w:hAnsi="Times New Roman" w:eastAsia="宋体" w:cs="Times New Roman"/>
                      <w:b/>
                      <w:bCs/>
                      <w:color w:val="auto"/>
                      <w:sz w:val="15"/>
                      <w:szCs w:val="15"/>
                      <w:lang w:val="en-US" w:eastAsia="zh-CN"/>
                    </w:rPr>
                  </w:pPr>
                  <w:r>
                    <w:rPr>
                      <w:rFonts w:hint="default" w:ascii="Times New Roman" w:hAnsi="Times New Roman" w:eastAsia="宋体" w:cs="Times New Roman"/>
                      <w:b/>
                      <w:bCs/>
                      <w:color w:val="auto"/>
                      <w:sz w:val="15"/>
                      <w:szCs w:val="15"/>
                      <w:lang w:val="en-US" w:eastAsia="zh-CN"/>
                    </w:rPr>
                    <w:t>环境管理要求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办公、生活</w:t>
                  </w:r>
                </w:p>
              </w:tc>
              <w:tc>
                <w:tcPr>
                  <w:tcW w:w="716"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生活垃圾</w:t>
                  </w:r>
                </w:p>
              </w:tc>
              <w:tc>
                <w:tcPr>
                  <w:tcW w:w="716"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一般固体废物</w:t>
                  </w:r>
                </w:p>
              </w:tc>
              <w:tc>
                <w:tcPr>
                  <w:tcW w:w="716"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w:t>
                  </w:r>
                </w:p>
              </w:tc>
              <w:tc>
                <w:tcPr>
                  <w:tcW w:w="716"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固态</w:t>
                  </w:r>
                </w:p>
              </w:tc>
              <w:tc>
                <w:tcPr>
                  <w:tcW w:w="716"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w:t>
                  </w:r>
                </w:p>
              </w:tc>
              <w:tc>
                <w:tcPr>
                  <w:tcW w:w="717"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2.7</w:t>
                  </w:r>
                </w:p>
              </w:tc>
              <w:tc>
                <w:tcPr>
                  <w:tcW w:w="717"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垃圾桶</w:t>
                  </w:r>
                </w:p>
              </w:tc>
              <w:tc>
                <w:tcPr>
                  <w:tcW w:w="717"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交由环卫部门清运处理</w:t>
                  </w:r>
                </w:p>
              </w:tc>
              <w:tc>
                <w:tcPr>
                  <w:tcW w:w="717"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2.7</w:t>
                  </w:r>
                </w:p>
              </w:tc>
              <w:tc>
                <w:tcPr>
                  <w:tcW w:w="717"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设置垃圾桶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restart"/>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锅炉</w:t>
                  </w:r>
                </w:p>
              </w:tc>
              <w:tc>
                <w:tcPr>
                  <w:tcW w:w="716"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炉渣</w:t>
                  </w:r>
                </w:p>
              </w:tc>
              <w:tc>
                <w:tcPr>
                  <w:tcW w:w="716"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一般固体废物，固废代码：900-999-64</w:t>
                  </w:r>
                </w:p>
              </w:tc>
              <w:tc>
                <w:tcPr>
                  <w:tcW w:w="716"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w:t>
                  </w:r>
                </w:p>
              </w:tc>
              <w:tc>
                <w:tcPr>
                  <w:tcW w:w="716"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固态</w:t>
                  </w:r>
                </w:p>
              </w:tc>
              <w:tc>
                <w:tcPr>
                  <w:tcW w:w="716"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w:t>
                  </w:r>
                </w:p>
              </w:tc>
              <w:tc>
                <w:tcPr>
                  <w:tcW w:w="717"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8.11</w:t>
                  </w:r>
                </w:p>
              </w:tc>
              <w:tc>
                <w:tcPr>
                  <w:tcW w:w="717" w:type="dxa"/>
                  <w:vMerge w:val="restart"/>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贮存区</w:t>
                  </w:r>
                </w:p>
              </w:tc>
              <w:tc>
                <w:tcPr>
                  <w:tcW w:w="717" w:type="dxa"/>
                  <w:vMerge w:val="restart"/>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交由周边农户农田作肥</w:t>
                  </w:r>
                </w:p>
              </w:tc>
              <w:tc>
                <w:tcPr>
                  <w:tcW w:w="717"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8.11</w:t>
                  </w:r>
                </w:p>
              </w:tc>
              <w:tc>
                <w:tcPr>
                  <w:tcW w:w="717" w:type="dxa"/>
                  <w:vMerge w:val="restart"/>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定点贮存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716"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灰渣</w:t>
                  </w:r>
                </w:p>
              </w:tc>
              <w:tc>
                <w:tcPr>
                  <w:tcW w:w="716"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一般固体废物</w:t>
                  </w:r>
                </w:p>
              </w:tc>
              <w:tc>
                <w:tcPr>
                  <w:tcW w:w="716"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w:t>
                  </w:r>
                </w:p>
              </w:tc>
              <w:tc>
                <w:tcPr>
                  <w:tcW w:w="716"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固态</w:t>
                  </w:r>
                </w:p>
              </w:tc>
              <w:tc>
                <w:tcPr>
                  <w:tcW w:w="716"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w:t>
                  </w:r>
                </w:p>
              </w:tc>
              <w:tc>
                <w:tcPr>
                  <w:tcW w:w="717"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0.505</w:t>
                  </w:r>
                </w:p>
              </w:tc>
              <w:tc>
                <w:tcPr>
                  <w:tcW w:w="717"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717"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c>
                <w:tcPr>
                  <w:tcW w:w="717"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0.505</w:t>
                  </w:r>
                </w:p>
              </w:tc>
              <w:tc>
                <w:tcPr>
                  <w:tcW w:w="717" w:type="dxa"/>
                  <w:vMerge w:val="continue"/>
                  <w:vAlign w:val="center"/>
                </w:tcPr>
                <w:p>
                  <w:pPr>
                    <w:bidi w:val="0"/>
                    <w:jc w:val="center"/>
                    <w:rPr>
                      <w:rFonts w:hint="default" w:ascii="Times New Roman" w:hAnsi="Times New Roman" w:eastAsia="宋体" w:cs="Times New Roman"/>
                      <w:color w:val="auto"/>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化粪池</w:t>
                  </w:r>
                </w:p>
              </w:tc>
              <w:tc>
                <w:tcPr>
                  <w:tcW w:w="716"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污泥</w:t>
                  </w:r>
                </w:p>
              </w:tc>
              <w:tc>
                <w:tcPr>
                  <w:tcW w:w="716"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一般固体废物，固废代码：900-999-61</w:t>
                  </w:r>
                </w:p>
              </w:tc>
              <w:tc>
                <w:tcPr>
                  <w:tcW w:w="716"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w:t>
                  </w:r>
                </w:p>
              </w:tc>
              <w:tc>
                <w:tcPr>
                  <w:tcW w:w="716"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固态</w:t>
                  </w:r>
                </w:p>
              </w:tc>
              <w:tc>
                <w:tcPr>
                  <w:tcW w:w="716"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w:t>
                  </w:r>
                </w:p>
              </w:tc>
              <w:tc>
                <w:tcPr>
                  <w:tcW w:w="717"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21.4</w:t>
                  </w:r>
                </w:p>
              </w:tc>
              <w:tc>
                <w:tcPr>
                  <w:tcW w:w="717"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不贮存</w:t>
                  </w:r>
                </w:p>
              </w:tc>
              <w:tc>
                <w:tcPr>
                  <w:tcW w:w="717"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交由环卫部门清运处理</w:t>
                  </w:r>
                </w:p>
              </w:tc>
              <w:tc>
                <w:tcPr>
                  <w:tcW w:w="717"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21.4</w:t>
                  </w:r>
                </w:p>
              </w:tc>
              <w:tc>
                <w:tcPr>
                  <w:tcW w:w="717"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定期清掏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原辅材料</w:t>
                  </w:r>
                </w:p>
              </w:tc>
              <w:tc>
                <w:tcPr>
                  <w:tcW w:w="716"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包装废料</w:t>
                  </w:r>
                </w:p>
              </w:tc>
              <w:tc>
                <w:tcPr>
                  <w:tcW w:w="716"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一般固体废物</w:t>
                  </w:r>
                </w:p>
              </w:tc>
              <w:tc>
                <w:tcPr>
                  <w:tcW w:w="716"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w:t>
                  </w:r>
                </w:p>
              </w:tc>
              <w:tc>
                <w:tcPr>
                  <w:tcW w:w="716"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固态</w:t>
                  </w:r>
                </w:p>
              </w:tc>
              <w:tc>
                <w:tcPr>
                  <w:tcW w:w="716"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w:t>
                  </w:r>
                </w:p>
              </w:tc>
              <w:tc>
                <w:tcPr>
                  <w:tcW w:w="717"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1.7</w:t>
                  </w:r>
                </w:p>
              </w:tc>
              <w:tc>
                <w:tcPr>
                  <w:tcW w:w="717"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贮存区</w:t>
                  </w:r>
                </w:p>
              </w:tc>
              <w:tc>
                <w:tcPr>
                  <w:tcW w:w="717"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外售</w:t>
                  </w:r>
                </w:p>
              </w:tc>
              <w:tc>
                <w:tcPr>
                  <w:tcW w:w="717" w:type="dxa"/>
                  <w:vAlign w:val="center"/>
                </w:tcPr>
                <w:p>
                  <w:pPr>
                    <w:bidi w:val="0"/>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1.7</w:t>
                  </w:r>
                </w:p>
              </w:tc>
              <w:tc>
                <w:tcPr>
                  <w:tcW w:w="717" w:type="dxa"/>
                  <w:vAlign w:val="center"/>
                </w:tcPr>
                <w:p>
                  <w:pPr>
                    <w:bidi w:val="0"/>
                    <w:jc w:val="center"/>
                    <w:rPr>
                      <w:rFonts w:hint="default" w:ascii="Times New Roman" w:hAnsi="Times New Roman" w:eastAsia="宋体" w:cs="Times New Roman"/>
                      <w:color w:val="auto"/>
                      <w:sz w:val="15"/>
                      <w:szCs w:val="15"/>
                      <w:lang w:val="en-US" w:eastAsia="zh-CN"/>
                    </w:rPr>
                  </w:pPr>
                  <w:r>
                    <w:rPr>
                      <w:rFonts w:hint="default" w:ascii="Times New Roman" w:hAnsi="Times New Roman" w:eastAsia="宋体" w:cs="Times New Roman"/>
                      <w:color w:val="auto"/>
                      <w:sz w:val="15"/>
                      <w:szCs w:val="15"/>
                      <w:lang w:val="en-US" w:eastAsia="zh-CN"/>
                    </w:rPr>
                    <w:t>定期外售</w:t>
                  </w:r>
                </w:p>
              </w:tc>
            </w:tr>
          </w:tbl>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固体废物影响分析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项目运营期产生的生活垃圾统一收集后交由环卫部门清运处理；锅炉炉渣</w:t>
            </w:r>
            <w:r>
              <w:rPr>
                <w:rFonts w:hint="eastAsia" w:ascii="Times New Roman" w:hAnsi="Times New Roman" w:eastAsia="宋体" w:cs="Times New Roman"/>
                <w:color w:val="auto"/>
                <w:sz w:val="24"/>
                <w:szCs w:val="24"/>
                <w:lang w:val="en-US" w:eastAsia="zh-CN"/>
              </w:rPr>
              <w:t>及除尘器灰渣</w:t>
            </w:r>
            <w:r>
              <w:rPr>
                <w:rFonts w:hint="default" w:ascii="Times New Roman" w:hAnsi="Times New Roman" w:eastAsia="宋体" w:cs="Times New Roman"/>
                <w:color w:val="auto"/>
                <w:sz w:val="24"/>
                <w:szCs w:val="24"/>
                <w:lang w:val="en-US" w:eastAsia="zh-CN"/>
              </w:rPr>
              <w:t>统一收集后，交由周边农户农田作肥；化粪池污泥定期清掏后，交由当地环卫部门清运处理；废包装经统一收集后，外售。建设单位进行分类收集暂存，进行合理综合利用及委托处置，处置率100%，实现“零”排放，固废环境保护措施可行，对环境不会产生二次污染，对环境影响较小。</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噪声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1、</w:t>
            </w:r>
            <w:r>
              <w:rPr>
                <w:rFonts w:hint="default" w:ascii="Times New Roman" w:hAnsi="Times New Roman" w:eastAsia="宋体" w:cs="Times New Roman"/>
                <w:color w:val="auto"/>
                <w:sz w:val="24"/>
                <w:szCs w:val="24"/>
                <w:lang w:val="en-US" w:eastAsia="zh-CN"/>
              </w:rPr>
              <w:t>噪声源强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项目特点，运营期噪声分为固定声源的稳态噪声和移动声源噪声，其中固定声源的稳态噪声主要包括洗脱机、烘干机、烫平机、风机等设备，生产过程中其噪声的位置和声源大小相对固定，也是本项目的主要声环境影响源，移动声源噪声主要为运输车辆噪声。设备噪声情况见下表；</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表4-1</w:t>
            </w:r>
            <w:r>
              <w:rPr>
                <w:rFonts w:hint="eastAsia" w:ascii="Times New Roman" w:hAnsi="Times New Roman" w:eastAsia="宋体" w:cs="Times New Roman"/>
                <w:b/>
                <w:bCs/>
                <w:color w:val="auto"/>
                <w:sz w:val="21"/>
                <w:szCs w:val="21"/>
                <w:lang w:val="en-US" w:eastAsia="zh-CN"/>
              </w:rPr>
              <w:t>5</w:t>
            </w:r>
            <w:r>
              <w:rPr>
                <w:rFonts w:hint="default" w:ascii="Times New Roman" w:hAnsi="Times New Roman" w:eastAsia="宋体" w:cs="Times New Roman"/>
                <w:b/>
                <w:bCs/>
                <w:color w:val="auto"/>
                <w:sz w:val="21"/>
                <w:szCs w:val="21"/>
                <w:lang w:val="en-US" w:eastAsia="zh-CN"/>
              </w:rPr>
              <w:t xml:space="preserve">  项目噪声源情况汇总表</w:t>
            </w:r>
          </w:p>
          <w:tbl>
            <w:tblPr>
              <w:tblStyle w:val="7"/>
              <w:tblW w:w="7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2151"/>
              <w:gridCol w:w="1752"/>
              <w:gridCol w:w="1384"/>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7"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序号</w:t>
                  </w:r>
                </w:p>
              </w:tc>
              <w:tc>
                <w:tcPr>
                  <w:tcW w:w="2151"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设备名称</w:t>
                  </w:r>
                </w:p>
              </w:tc>
              <w:tc>
                <w:tcPr>
                  <w:tcW w:w="1752"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声级值dB（A）</w:t>
                  </w:r>
                </w:p>
              </w:tc>
              <w:tc>
                <w:tcPr>
                  <w:tcW w:w="1384"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数量</w:t>
                  </w:r>
                  <w:r>
                    <w:rPr>
                      <w:rFonts w:hint="eastAsia" w:ascii="Times New Roman" w:hAnsi="Times New Roman" w:eastAsia="宋体" w:cs="Times New Roman"/>
                      <w:b/>
                      <w:bCs/>
                      <w:color w:val="auto"/>
                      <w:sz w:val="21"/>
                      <w:szCs w:val="21"/>
                      <w:lang w:val="en-US" w:eastAsia="zh-CN"/>
                    </w:rPr>
                    <w:t>（台/套）</w:t>
                  </w:r>
                </w:p>
              </w:tc>
              <w:tc>
                <w:tcPr>
                  <w:tcW w:w="1640"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7"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2151"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洗脱机</w:t>
                  </w:r>
                </w:p>
              </w:tc>
              <w:tc>
                <w:tcPr>
                  <w:tcW w:w="1752"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70</w:t>
                  </w:r>
                </w:p>
              </w:tc>
              <w:tc>
                <w:tcPr>
                  <w:tcW w:w="1384"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1640" w:type="dxa"/>
                  <w:vMerge w:val="restar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低噪声设备，入室操作</w:t>
                  </w:r>
                  <w:r>
                    <w:rPr>
                      <w:rFonts w:hint="eastAsia" w:ascii="Times New Roman" w:hAnsi="Times New Roman" w:eastAsia="宋体" w:cs="Times New Roman"/>
                      <w:color w:val="auto"/>
                      <w:sz w:val="21"/>
                      <w:szCs w:val="21"/>
                      <w:lang w:val="en-US" w:eastAsia="zh-CN"/>
                    </w:rPr>
                    <w:t>，墙体阻隔、基础固定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7"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2151"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烘干机</w:t>
                  </w:r>
                </w:p>
              </w:tc>
              <w:tc>
                <w:tcPr>
                  <w:tcW w:w="1752"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80</w:t>
                  </w:r>
                </w:p>
              </w:tc>
              <w:tc>
                <w:tcPr>
                  <w:tcW w:w="1384"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1640" w:type="dxa"/>
                  <w:vMerge w:val="continue"/>
                  <w:vAlign w:val="center"/>
                </w:tcPr>
                <w:p>
                  <w:pPr>
                    <w:bidi w:val="0"/>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7"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2151"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烫平机</w:t>
                  </w:r>
                </w:p>
              </w:tc>
              <w:tc>
                <w:tcPr>
                  <w:tcW w:w="1752"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75</w:t>
                  </w:r>
                </w:p>
              </w:tc>
              <w:tc>
                <w:tcPr>
                  <w:tcW w:w="1384"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1640" w:type="dxa"/>
                  <w:vMerge w:val="continue"/>
                  <w:vAlign w:val="center"/>
                </w:tcPr>
                <w:p>
                  <w:pPr>
                    <w:bidi w:val="0"/>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2151"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折叠机</w:t>
                  </w:r>
                </w:p>
              </w:tc>
              <w:tc>
                <w:tcPr>
                  <w:tcW w:w="1752"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75</w:t>
                  </w:r>
                </w:p>
              </w:tc>
              <w:tc>
                <w:tcPr>
                  <w:tcW w:w="1384"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640" w:type="dxa"/>
                  <w:vMerge w:val="continue"/>
                  <w:vAlign w:val="center"/>
                </w:tcPr>
                <w:p>
                  <w:pPr>
                    <w:bidi w:val="0"/>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2151"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空压机</w:t>
                  </w:r>
                </w:p>
              </w:tc>
              <w:tc>
                <w:tcPr>
                  <w:tcW w:w="1752"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85</w:t>
                  </w:r>
                </w:p>
              </w:tc>
              <w:tc>
                <w:tcPr>
                  <w:tcW w:w="1384"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1640" w:type="dxa"/>
                  <w:vMerge w:val="continue"/>
                  <w:vAlign w:val="center"/>
                </w:tcPr>
                <w:p>
                  <w:pPr>
                    <w:bidi w:val="0"/>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w:t>
                  </w:r>
                </w:p>
              </w:tc>
              <w:tc>
                <w:tcPr>
                  <w:tcW w:w="2151"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风机</w:t>
                  </w:r>
                </w:p>
              </w:tc>
              <w:tc>
                <w:tcPr>
                  <w:tcW w:w="1752"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w:t>
                  </w:r>
                </w:p>
              </w:tc>
              <w:tc>
                <w:tcPr>
                  <w:tcW w:w="1384"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640" w:type="dxa"/>
                  <w:vMerge w:val="continue"/>
                  <w:vAlign w:val="center"/>
                </w:tcPr>
                <w:p>
                  <w:pPr>
                    <w:bidi w:val="0"/>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7"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w:t>
                  </w:r>
                </w:p>
              </w:tc>
              <w:tc>
                <w:tcPr>
                  <w:tcW w:w="2151" w:type="dxa"/>
                  <w:vAlign w:val="center"/>
                </w:tcPr>
                <w:p>
                  <w:pPr>
                    <w:bidi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生物质锅炉</w:t>
                  </w:r>
                </w:p>
              </w:tc>
              <w:tc>
                <w:tcPr>
                  <w:tcW w:w="1752"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70</w:t>
                  </w:r>
                </w:p>
              </w:tc>
              <w:tc>
                <w:tcPr>
                  <w:tcW w:w="1384"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1640" w:type="dxa"/>
                  <w:vMerge w:val="continue"/>
                  <w:vAlign w:val="center"/>
                </w:tcPr>
                <w:p>
                  <w:pPr>
                    <w:bidi w:val="0"/>
                    <w:jc w:val="center"/>
                    <w:rPr>
                      <w:rFonts w:hint="default" w:ascii="Times New Roman" w:hAnsi="Times New Roman" w:eastAsia="宋体" w:cs="Times New Roman"/>
                      <w:color w:val="auto"/>
                      <w:sz w:val="21"/>
                      <w:szCs w:val="21"/>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项目各类噪声源声级详见下表：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lang w:val="en-US" w:eastAsia="zh-CN"/>
              </w:rPr>
            </w:pPr>
            <w:r>
              <w:rPr>
                <w:rFonts w:hint="eastAsia"/>
                <w:b/>
                <w:bCs/>
                <w:lang w:val="en-US" w:eastAsia="zh-CN"/>
              </w:rPr>
              <w:t>表4-16  项目各类噪声源声级一览表</w:t>
            </w:r>
          </w:p>
          <w:tbl>
            <w:tblPr>
              <w:tblStyle w:val="7"/>
              <w:tblW w:w="7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547"/>
              <w:gridCol w:w="1072"/>
              <w:gridCol w:w="599"/>
              <w:gridCol w:w="739"/>
              <w:gridCol w:w="622"/>
              <w:gridCol w:w="631"/>
              <w:gridCol w:w="580"/>
              <w:gridCol w:w="653"/>
              <w:gridCol w:w="696"/>
              <w:gridCol w:w="664"/>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400" w:type="dxa"/>
                  <w:vMerge w:val="restart"/>
                  <w:vAlign w:val="center"/>
                </w:tcPr>
                <w:p>
                  <w:pPr>
                    <w:bidi w:val="0"/>
                    <w:jc w:val="center"/>
                    <w:rPr>
                      <w:rFonts w:hint="default"/>
                      <w:b/>
                      <w:bCs/>
                      <w:sz w:val="15"/>
                      <w:szCs w:val="15"/>
                      <w:vertAlign w:val="baseline"/>
                      <w:lang w:val="en-US" w:eastAsia="zh-CN"/>
                    </w:rPr>
                  </w:pPr>
                  <w:r>
                    <w:rPr>
                      <w:rFonts w:hint="eastAsia"/>
                      <w:b/>
                      <w:bCs/>
                      <w:sz w:val="15"/>
                      <w:szCs w:val="15"/>
                      <w:vertAlign w:val="baseline"/>
                      <w:lang w:val="en-US" w:eastAsia="zh-CN"/>
                    </w:rPr>
                    <w:t>序号</w:t>
                  </w:r>
                </w:p>
              </w:tc>
              <w:tc>
                <w:tcPr>
                  <w:tcW w:w="547" w:type="dxa"/>
                  <w:vMerge w:val="restart"/>
                  <w:vAlign w:val="center"/>
                </w:tcPr>
                <w:p>
                  <w:pPr>
                    <w:bidi w:val="0"/>
                    <w:jc w:val="center"/>
                    <w:rPr>
                      <w:rFonts w:hint="default"/>
                      <w:b/>
                      <w:bCs/>
                      <w:sz w:val="15"/>
                      <w:szCs w:val="15"/>
                      <w:vertAlign w:val="baseline"/>
                      <w:lang w:val="en-US" w:eastAsia="zh-CN"/>
                    </w:rPr>
                  </w:pPr>
                  <w:r>
                    <w:rPr>
                      <w:rFonts w:hint="eastAsia"/>
                      <w:b/>
                      <w:bCs/>
                      <w:sz w:val="15"/>
                      <w:szCs w:val="15"/>
                      <w:vertAlign w:val="baseline"/>
                      <w:lang w:val="en-US" w:eastAsia="zh-CN"/>
                    </w:rPr>
                    <w:t>建筑物名称</w:t>
                  </w:r>
                </w:p>
              </w:tc>
              <w:tc>
                <w:tcPr>
                  <w:tcW w:w="1072" w:type="dxa"/>
                  <w:vMerge w:val="restart"/>
                  <w:vAlign w:val="center"/>
                </w:tcPr>
                <w:p>
                  <w:pPr>
                    <w:bidi w:val="0"/>
                    <w:jc w:val="center"/>
                    <w:rPr>
                      <w:rFonts w:hint="default"/>
                      <w:b/>
                      <w:bCs/>
                      <w:sz w:val="15"/>
                      <w:szCs w:val="15"/>
                      <w:vertAlign w:val="baseline"/>
                      <w:lang w:val="en-US" w:eastAsia="zh-CN"/>
                    </w:rPr>
                  </w:pPr>
                  <w:r>
                    <w:rPr>
                      <w:rFonts w:hint="eastAsia"/>
                      <w:b/>
                      <w:bCs/>
                      <w:sz w:val="15"/>
                      <w:szCs w:val="15"/>
                      <w:vertAlign w:val="baseline"/>
                      <w:lang w:val="en-US" w:eastAsia="zh-CN"/>
                    </w:rPr>
                    <w:t>声源名称</w:t>
                  </w:r>
                </w:p>
              </w:tc>
              <w:tc>
                <w:tcPr>
                  <w:tcW w:w="599" w:type="dxa"/>
                  <w:vMerge w:val="restart"/>
                  <w:vAlign w:val="center"/>
                </w:tcPr>
                <w:p>
                  <w:pPr>
                    <w:bidi w:val="0"/>
                    <w:jc w:val="center"/>
                    <w:rPr>
                      <w:rFonts w:hint="default"/>
                      <w:b/>
                      <w:bCs/>
                      <w:sz w:val="15"/>
                      <w:szCs w:val="15"/>
                      <w:vertAlign w:val="baseline"/>
                      <w:lang w:val="en-US" w:eastAsia="zh-CN"/>
                    </w:rPr>
                  </w:pPr>
                  <w:r>
                    <w:rPr>
                      <w:rFonts w:hint="eastAsia"/>
                      <w:b/>
                      <w:bCs/>
                      <w:sz w:val="15"/>
                      <w:szCs w:val="15"/>
                      <w:vertAlign w:val="baseline"/>
                      <w:lang w:val="en-US" w:eastAsia="zh-CN"/>
                    </w:rPr>
                    <w:t>声功率级/dB</w:t>
                  </w:r>
                </w:p>
              </w:tc>
              <w:tc>
                <w:tcPr>
                  <w:tcW w:w="739" w:type="dxa"/>
                  <w:vMerge w:val="restart"/>
                  <w:vAlign w:val="center"/>
                </w:tcPr>
                <w:p>
                  <w:pPr>
                    <w:bidi w:val="0"/>
                    <w:jc w:val="center"/>
                    <w:rPr>
                      <w:rFonts w:hint="default"/>
                      <w:b/>
                      <w:bCs/>
                      <w:sz w:val="15"/>
                      <w:szCs w:val="15"/>
                      <w:vertAlign w:val="baseline"/>
                      <w:lang w:val="en-US" w:eastAsia="zh-CN"/>
                    </w:rPr>
                  </w:pPr>
                  <w:r>
                    <w:rPr>
                      <w:rFonts w:hint="eastAsia"/>
                      <w:b/>
                      <w:bCs/>
                      <w:sz w:val="15"/>
                      <w:szCs w:val="15"/>
                      <w:vertAlign w:val="baseline"/>
                      <w:lang w:val="en-US" w:eastAsia="zh-CN"/>
                    </w:rPr>
                    <w:t>声源控制措施</w:t>
                  </w:r>
                </w:p>
              </w:tc>
              <w:tc>
                <w:tcPr>
                  <w:tcW w:w="1833" w:type="dxa"/>
                  <w:gridSpan w:val="3"/>
                  <w:vAlign w:val="center"/>
                </w:tcPr>
                <w:p>
                  <w:pPr>
                    <w:bidi w:val="0"/>
                    <w:jc w:val="center"/>
                    <w:rPr>
                      <w:rFonts w:hint="eastAsia"/>
                      <w:b/>
                      <w:bCs/>
                      <w:sz w:val="15"/>
                      <w:szCs w:val="15"/>
                      <w:vertAlign w:val="baseline"/>
                      <w:lang w:val="en-US" w:eastAsia="zh-CN"/>
                    </w:rPr>
                  </w:pPr>
                  <w:r>
                    <w:rPr>
                      <w:rFonts w:hint="eastAsia"/>
                      <w:b/>
                      <w:bCs/>
                      <w:sz w:val="15"/>
                      <w:szCs w:val="15"/>
                      <w:vertAlign w:val="baseline"/>
                      <w:lang w:val="en-US" w:eastAsia="zh-CN"/>
                    </w:rPr>
                    <w:t>空间相对位置/m</w:t>
                  </w:r>
                </w:p>
              </w:tc>
              <w:tc>
                <w:tcPr>
                  <w:tcW w:w="653" w:type="dxa"/>
                  <w:vMerge w:val="restart"/>
                  <w:vAlign w:val="center"/>
                </w:tcPr>
                <w:p>
                  <w:pPr>
                    <w:bidi w:val="0"/>
                    <w:jc w:val="center"/>
                    <w:rPr>
                      <w:rFonts w:hint="default"/>
                      <w:b/>
                      <w:bCs/>
                      <w:sz w:val="15"/>
                      <w:szCs w:val="15"/>
                      <w:vertAlign w:val="baseline"/>
                      <w:lang w:val="en-US" w:eastAsia="zh-CN"/>
                    </w:rPr>
                  </w:pPr>
                  <w:r>
                    <w:rPr>
                      <w:rFonts w:hint="eastAsia"/>
                      <w:b/>
                      <w:bCs/>
                      <w:sz w:val="15"/>
                      <w:szCs w:val="15"/>
                      <w:vertAlign w:val="baseline"/>
                      <w:lang w:val="en-US" w:eastAsia="zh-CN"/>
                    </w:rPr>
                    <w:t>运行时段</w:t>
                  </w:r>
                </w:p>
              </w:tc>
              <w:tc>
                <w:tcPr>
                  <w:tcW w:w="696" w:type="dxa"/>
                  <w:vMerge w:val="restart"/>
                  <w:vAlign w:val="center"/>
                </w:tcPr>
                <w:p>
                  <w:pPr>
                    <w:bidi w:val="0"/>
                    <w:jc w:val="center"/>
                    <w:rPr>
                      <w:rFonts w:hint="default"/>
                      <w:b/>
                      <w:bCs/>
                      <w:sz w:val="15"/>
                      <w:szCs w:val="15"/>
                      <w:vertAlign w:val="baseline"/>
                      <w:lang w:val="en-US" w:eastAsia="zh-CN"/>
                    </w:rPr>
                  </w:pPr>
                  <w:r>
                    <w:rPr>
                      <w:rFonts w:hint="eastAsia"/>
                      <w:b/>
                      <w:bCs/>
                      <w:sz w:val="15"/>
                      <w:szCs w:val="15"/>
                      <w:vertAlign w:val="baseline"/>
                      <w:lang w:val="en-US" w:eastAsia="zh-CN"/>
                    </w:rPr>
                    <w:t>建筑物插入损失/dB（A）</w:t>
                  </w:r>
                </w:p>
              </w:tc>
              <w:tc>
                <w:tcPr>
                  <w:tcW w:w="1382" w:type="dxa"/>
                  <w:gridSpan w:val="2"/>
                  <w:vAlign w:val="center"/>
                </w:tcPr>
                <w:p>
                  <w:pPr>
                    <w:bidi w:val="0"/>
                    <w:jc w:val="center"/>
                    <w:rPr>
                      <w:rFonts w:hint="default"/>
                      <w:b/>
                      <w:bCs/>
                      <w:sz w:val="15"/>
                      <w:szCs w:val="15"/>
                      <w:vertAlign w:val="baseline"/>
                      <w:lang w:val="en-US" w:eastAsia="zh-CN"/>
                    </w:rPr>
                  </w:pPr>
                  <w:r>
                    <w:rPr>
                      <w:rFonts w:hint="eastAsia"/>
                      <w:b/>
                      <w:bCs/>
                      <w:sz w:val="15"/>
                      <w:szCs w:val="15"/>
                      <w:vertAlign w:val="baseline"/>
                      <w:lang w:val="en-US" w:eastAsia="zh-CN"/>
                    </w:rPr>
                    <w:t>建筑物外噪声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 w:type="dxa"/>
                  <w:vMerge w:val="continue"/>
                  <w:vAlign w:val="center"/>
                </w:tcPr>
                <w:p>
                  <w:pPr>
                    <w:bidi w:val="0"/>
                    <w:jc w:val="center"/>
                    <w:rPr>
                      <w:rFonts w:hint="default"/>
                      <w:sz w:val="15"/>
                      <w:szCs w:val="15"/>
                      <w:vertAlign w:val="baseline"/>
                      <w:lang w:val="en-US" w:eastAsia="zh-CN"/>
                    </w:rPr>
                  </w:pPr>
                </w:p>
              </w:tc>
              <w:tc>
                <w:tcPr>
                  <w:tcW w:w="547" w:type="dxa"/>
                  <w:vMerge w:val="continue"/>
                  <w:vAlign w:val="center"/>
                </w:tcPr>
                <w:p>
                  <w:pPr>
                    <w:bidi w:val="0"/>
                    <w:jc w:val="center"/>
                    <w:rPr>
                      <w:rFonts w:hint="default"/>
                      <w:sz w:val="15"/>
                      <w:szCs w:val="15"/>
                      <w:vertAlign w:val="baseline"/>
                      <w:lang w:val="en-US" w:eastAsia="zh-CN"/>
                    </w:rPr>
                  </w:pPr>
                </w:p>
              </w:tc>
              <w:tc>
                <w:tcPr>
                  <w:tcW w:w="1072" w:type="dxa"/>
                  <w:vMerge w:val="continue"/>
                  <w:vAlign w:val="center"/>
                </w:tcPr>
                <w:p>
                  <w:pPr>
                    <w:bidi w:val="0"/>
                    <w:jc w:val="center"/>
                    <w:rPr>
                      <w:rFonts w:hint="default"/>
                      <w:sz w:val="15"/>
                      <w:szCs w:val="15"/>
                      <w:vertAlign w:val="baseline"/>
                      <w:lang w:val="en-US" w:eastAsia="zh-CN"/>
                    </w:rPr>
                  </w:pPr>
                </w:p>
              </w:tc>
              <w:tc>
                <w:tcPr>
                  <w:tcW w:w="599" w:type="dxa"/>
                  <w:vMerge w:val="continue"/>
                  <w:vAlign w:val="center"/>
                </w:tcPr>
                <w:p>
                  <w:pPr>
                    <w:bidi w:val="0"/>
                    <w:jc w:val="center"/>
                    <w:rPr>
                      <w:rFonts w:hint="default"/>
                      <w:sz w:val="15"/>
                      <w:szCs w:val="15"/>
                      <w:vertAlign w:val="baseline"/>
                      <w:lang w:val="en-US" w:eastAsia="zh-CN"/>
                    </w:rPr>
                  </w:pPr>
                </w:p>
              </w:tc>
              <w:tc>
                <w:tcPr>
                  <w:tcW w:w="739" w:type="dxa"/>
                  <w:vMerge w:val="continue"/>
                  <w:vAlign w:val="center"/>
                </w:tcPr>
                <w:p>
                  <w:pPr>
                    <w:bidi w:val="0"/>
                    <w:jc w:val="center"/>
                    <w:rPr>
                      <w:rFonts w:hint="default"/>
                      <w:sz w:val="15"/>
                      <w:szCs w:val="15"/>
                      <w:vertAlign w:val="baseline"/>
                      <w:lang w:val="en-US" w:eastAsia="zh-CN"/>
                    </w:rPr>
                  </w:pPr>
                </w:p>
              </w:tc>
              <w:tc>
                <w:tcPr>
                  <w:tcW w:w="622"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X</w:t>
                  </w:r>
                </w:p>
              </w:tc>
              <w:tc>
                <w:tcPr>
                  <w:tcW w:w="631"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Y</w:t>
                  </w:r>
                </w:p>
              </w:tc>
              <w:tc>
                <w:tcPr>
                  <w:tcW w:w="580"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Z</w:t>
                  </w:r>
                </w:p>
              </w:tc>
              <w:tc>
                <w:tcPr>
                  <w:tcW w:w="653" w:type="dxa"/>
                  <w:vMerge w:val="continue"/>
                  <w:vAlign w:val="center"/>
                </w:tcPr>
                <w:p>
                  <w:pPr>
                    <w:bidi w:val="0"/>
                    <w:jc w:val="center"/>
                    <w:rPr>
                      <w:rFonts w:hint="default"/>
                      <w:sz w:val="15"/>
                      <w:szCs w:val="15"/>
                      <w:vertAlign w:val="baseline"/>
                      <w:lang w:val="en-US" w:eastAsia="zh-CN"/>
                    </w:rPr>
                  </w:pPr>
                </w:p>
              </w:tc>
              <w:tc>
                <w:tcPr>
                  <w:tcW w:w="696" w:type="dxa"/>
                  <w:vMerge w:val="continue"/>
                  <w:vAlign w:val="center"/>
                </w:tcPr>
                <w:p>
                  <w:pPr>
                    <w:bidi w:val="0"/>
                    <w:jc w:val="center"/>
                    <w:rPr>
                      <w:rFonts w:hint="default"/>
                      <w:sz w:val="15"/>
                      <w:szCs w:val="15"/>
                      <w:vertAlign w:val="baseline"/>
                      <w:lang w:val="en-US" w:eastAsia="zh-CN"/>
                    </w:rPr>
                  </w:pPr>
                </w:p>
              </w:tc>
              <w:tc>
                <w:tcPr>
                  <w:tcW w:w="664" w:type="dxa"/>
                  <w:vAlign w:val="center"/>
                </w:tcPr>
                <w:p>
                  <w:pPr>
                    <w:pStyle w:val="11"/>
                    <w:ind w:firstLine="0" w:firstLineChars="0"/>
                    <w:jc w:val="center"/>
                    <w:rPr>
                      <w:rFonts w:hint="default"/>
                      <w:sz w:val="15"/>
                      <w:szCs w:val="15"/>
                      <w:vertAlign w:val="baseline"/>
                      <w:lang w:val="en-US" w:eastAsia="zh-CN"/>
                    </w:rPr>
                  </w:pPr>
                  <w:r>
                    <w:rPr>
                      <w:rFonts w:hint="default" w:ascii="Times New Roman" w:hAnsi="Times New Roman" w:eastAsia="宋体" w:cs="Times New Roman"/>
                      <w:color w:val="000000" w:themeColor="text1"/>
                      <w:sz w:val="15"/>
                      <w:szCs w:val="15"/>
                      <w:lang w:eastAsia="zh-CN"/>
                      <w14:textFill>
                        <w14:solidFill>
                          <w14:schemeClr w14:val="tx1"/>
                        </w14:solidFill>
                      </w14:textFill>
                    </w:rPr>
                    <w:t>声压级</w:t>
                  </w:r>
                  <w:r>
                    <w:rPr>
                      <w:rFonts w:hint="default" w:ascii="Times New Roman" w:hAnsi="Times New Roman" w:eastAsia="宋体" w:cs="Times New Roman"/>
                      <w:color w:val="000000" w:themeColor="text1"/>
                      <w:sz w:val="15"/>
                      <w:szCs w:val="15"/>
                      <w:lang w:val="en-US" w:eastAsia="zh-CN"/>
                      <w14:textFill>
                        <w14:solidFill>
                          <w14:schemeClr w14:val="tx1"/>
                        </w14:solidFill>
                      </w14:textFill>
                    </w:rPr>
                    <w:t>/dB（A）</w:t>
                  </w:r>
                </w:p>
              </w:tc>
              <w:tc>
                <w:tcPr>
                  <w:tcW w:w="718" w:type="dxa"/>
                  <w:vAlign w:val="center"/>
                </w:tcPr>
                <w:p>
                  <w:pPr>
                    <w:pStyle w:val="11"/>
                    <w:ind w:firstLine="0" w:firstLineChars="0"/>
                    <w:jc w:val="center"/>
                    <w:rPr>
                      <w:rFonts w:hint="default"/>
                      <w:sz w:val="15"/>
                      <w:szCs w:val="15"/>
                      <w:vertAlign w:val="baseline"/>
                      <w:lang w:val="en-US" w:eastAsia="zh-CN"/>
                    </w:rPr>
                  </w:pPr>
                  <w:r>
                    <w:rPr>
                      <w:rFonts w:hint="default" w:ascii="Times New Roman" w:hAnsi="Times New Roman" w:eastAsia="宋体" w:cs="Times New Roman"/>
                      <w:color w:val="000000" w:themeColor="text1"/>
                      <w:sz w:val="15"/>
                      <w:szCs w:val="15"/>
                      <w:lang w:eastAsia="zh-CN"/>
                      <w14:textFill>
                        <w14:solidFill>
                          <w14:schemeClr w14:val="tx1"/>
                        </w14:solidFill>
                      </w14:textFill>
                    </w:rPr>
                    <w:t>建筑物外距离</w:t>
                  </w:r>
                  <w:r>
                    <w:rPr>
                      <w:rFonts w:hint="default" w:ascii="Times New Roman" w:hAnsi="Times New Roman" w:eastAsia="宋体" w:cs="Times New Roman"/>
                      <w:color w:val="000000" w:themeColor="text1"/>
                      <w:sz w:val="15"/>
                      <w:szCs w:val="15"/>
                      <w:lang w:val="en-US" w:eastAsia="zh-CN"/>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w:t>
                  </w:r>
                </w:p>
              </w:tc>
              <w:tc>
                <w:tcPr>
                  <w:tcW w:w="547" w:type="dxa"/>
                  <w:vMerge w:val="restart"/>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生产厂房</w:t>
                  </w:r>
                </w:p>
              </w:tc>
              <w:tc>
                <w:tcPr>
                  <w:tcW w:w="1072"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洗脱机1</w:t>
                  </w:r>
                </w:p>
              </w:tc>
              <w:tc>
                <w:tcPr>
                  <w:tcW w:w="599"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70</w:t>
                  </w:r>
                </w:p>
              </w:tc>
              <w:tc>
                <w:tcPr>
                  <w:tcW w:w="739" w:type="dxa"/>
                  <w:vMerge w:val="restart"/>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基础减震、厂房隔声</w:t>
                  </w:r>
                </w:p>
              </w:tc>
              <w:tc>
                <w:tcPr>
                  <w:tcW w:w="622"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16.35</w:t>
                  </w:r>
                </w:p>
              </w:tc>
              <w:tc>
                <w:tcPr>
                  <w:tcW w:w="631"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2.2</w:t>
                  </w:r>
                </w:p>
              </w:tc>
              <w:tc>
                <w:tcPr>
                  <w:tcW w:w="580"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1.2</w:t>
                  </w:r>
                </w:p>
              </w:tc>
              <w:tc>
                <w:tcPr>
                  <w:tcW w:w="653" w:type="dxa"/>
                  <w:vMerge w:val="restart"/>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昼间</w:t>
                  </w:r>
                </w:p>
              </w:tc>
              <w:tc>
                <w:tcPr>
                  <w:tcW w:w="696"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20</w:t>
                  </w:r>
                </w:p>
              </w:tc>
              <w:tc>
                <w:tcPr>
                  <w:tcW w:w="664"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50</w:t>
                  </w:r>
                </w:p>
              </w:tc>
              <w:tc>
                <w:tcPr>
                  <w:tcW w:w="718"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2</w:t>
                  </w:r>
                </w:p>
              </w:tc>
              <w:tc>
                <w:tcPr>
                  <w:tcW w:w="547" w:type="dxa"/>
                  <w:vMerge w:val="continue"/>
                  <w:vAlign w:val="center"/>
                </w:tcPr>
                <w:p>
                  <w:pPr>
                    <w:bidi w:val="0"/>
                    <w:jc w:val="center"/>
                    <w:rPr>
                      <w:rFonts w:hint="default"/>
                      <w:sz w:val="15"/>
                      <w:szCs w:val="15"/>
                      <w:vertAlign w:val="baseline"/>
                      <w:lang w:val="en-US" w:eastAsia="zh-CN"/>
                    </w:rPr>
                  </w:pPr>
                </w:p>
              </w:tc>
              <w:tc>
                <w:tcPr>
                  <w:tcW w:w="1072"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洗脱机2</w:t>
                  </w:r>
                </w:p>
              </w:tc>
              <w:tc>
                <w:tcPr>
                  <w:tcW w:w="599"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70</w:t>
                  </w:r>
                </w:p>
              </w:tc>
              <w:tc>
                <w:tcPr>
                  <w:tcW w:w="739" w:type="dxa"/>
                  <w:vMerge w:val="continue"/>
                  <w:vAlign w:val="center"/>
                </w:tcPr>
                <w:p>
                  <w:pPr>
                    <w:bidi w:val="0"/>
                    <w:jc w:val="center"/>
                    <w:rPr>
                      <w:rFonts w:hint="default"/>
                      <w:sz w:val="15"/>
                      <w:szCs w:val="15"/>
                      <w:vertAlign w:val="baseline"/>
                      <w:lang w:val="en-US" w:eastAsia="zh-CN"/>
                    </w:rPr>
                  </w:pPr>
                </w:p>
              </w:tc>
              <w:tc>
                <w:tcPr>
                  <w:tcW w:w="622"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17.28</w:t>
                  </w:r>
                </w:p>
              </w:tc>
              <w:tc>
                <w:tcPr>
                  <w:tcW w:w="631"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8.71</w:t>
                  </w:r>
                </w:p>
              </w:tc>
              <w:tc>
                <w:tcPr>
                  <w:tcW w:w="580"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1.2</w:t>
                  </w:r>
                </w:p>
              </w:tc>
              <w:tc>
                <w:tcPr>
                  <w:tcW w:w="653" w:type="dxa"/>
                  <w:vMerge w:val="continue"/>
                  <w:vAlign w:val="center"/>
                </w:tcPr>
                <w:p>
                  <w:pPr>
                    <w:bidi w:val="0"/>
                    <w:jc w:val="center"/>
                    <w:rPr>
                      <w:rFonts w:hint="default"/>
                      <w:sz w:val="15"/>
                      <w:szCs w:val="15"/>
                      <w:vertAlign w:val="baseline"/>
                      <w:lang w:val="en-US" w:eastAsia="zh-CN"/>
                    </w:rPr>
                  </w:pPr>
                </w:p>
              </w:tc>
              <w:tc>
                <w:tcPr>
                  <w:tcW w:w="696"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20</w:t>
                  </w:r>
                </w:p>
              </w:tc>
              <w:tc>
                <w:tcPr>
                  <w:tcW w:w="664"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50</w:t>
                  </w:r>
                </w:p>
              </w:tc>
              <w:tc>
                <w:tcPr>
                  <w:tcW w:w="718"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3</w:t>
                  </w:r>
                </w:p>
              </w:tc>
              <w:tc>
                <w:tcPr>
                  <w:tcW w:w="547" w:type="dxa"/>
                  <w:vMerge w:val="continue"/>
                  <w:vAlign w:val="center"/>
                </w:tcPr>
                <w:p>
                  <w:pPr>
                    <w:bidi w:val="0"/>
                    <w:jc w:val="center"/>
                    <w:rPr>
                      <w:rFonts w:hint="default"/>
                      <w:sz w:val="15"/>
                      <w:szCs w:val="15"/>
                      <w:vertAlign w:val="baseline"/>
                      <w:lang w:val="en-US" w:eastAsia="zh-CN"/>
                    </w:rPr>
                  </w:pPr>
                </w:p>
              </w:tc>
              <w:tc>
                <w:tcPr>
                  <w:tcW w:w="1072"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洗脱机3</w:t>
                  </w:r>
                </w:p>
              </w:tc>
              <w:tc>
                <w:tcPr>
                  <w:tcW w:w="599"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70</w:t>
                  </w:r>
                </w:p>
              </w:tc>
              <w:tc>
                <w:tcPr>
                  <w:tcW w:w="739" w:type="dxa"/>
                  <w:vMerge w:val="continue"/>
                  <w:vAlign w:val="center"/>
                </w:tcPr>
                <w:p>
                  <w:pPr>
                    <w:bidi w:val="0"/>
                    <w:jc w:val="center"/>
                    <w:rPr>
                      <w:rFonts w:hint="default"/>
                      <w:sz w:val="15"/>
                      <w:szCs w:val="15"/>
                      <w:vertAlign w:val="baseline"/>
                      <w:lang w:val="en-US" w:eastAsia="zh-CN"/>
                    </w:rPr>
                  </w:pPr>
                </w:p>
              </w:tc>
              <w:tc>
                <w:tcPr>
                  <w:tcW w:w="622"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18.68</w:t>
                  </w:r>
                </w:p>
              </w:tc>
              <w:tc>
                <w:tcPr>
                  <w:tcW w:w="631"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12.43</w:t>
                  </w:r>
                </w:p>
              </w:tc>
              <w:tc>
                <w:tcPr>
                  <w:tcW w:w="580"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1.2</w:t>
                  </w:r>
                </w:p>
              </w:tc>
              <w:tc>
                <w:tcPr>
                  <w:tcW w:w="653" w:type="dxa"/>
                  <w:vMerge w:val="continue"/>
                  <w:vAlign w:val="center"/>
                </w:tcPr>
                <w:p>
                  <w:pPr>
                    <w:bidi w:val="0"/>
                    <w:jc w:val="center"/>
                    <w:rPr>
                      <w:rFonts w:hint="default"/>
                      <w:sz w:val="15"/>
                      <w:szCs w:val="15"/>
                      <w:vertAlign w:val="baseline"/>
                      <w:lang w:val="en-US" w:eastAsia="zh-CN"/>
                    </w:rPr>
                  </w:pPr>
                </w:p>
              </w:tc>
              <w:tc>
                <w:tcPr>
                  <w:tcW w:w="696"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20</w:t>
                  </w:r>
                </w:p>
              </w:tc>
              <w:tc>
                <w:tcPr>
                  <w:tcW w:w="664"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50</w:t>
                  </w:r>
                </w:p>
              </w:tc>
              <w:tc>
                <w:tcPr>
                  <w:tcW w:w="718"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4</w:t>
                  </w:r>
                </w:p>
              </w:tc>
              <w:tc>
                <w:tcPr>
                  <w:tcW w:w="547" w:type="dxa"/>
                  <w:vMerge w:val="continue"/>
                  <w:vAlign w:val="center"/>
                </w:tcPr>
                <w:p>
                  <w:pPr>
                    <w:bidi w:val="0"/>
                    <w:jc w:val="center"/>
                    <w:rPr>
                      <w:rFonts w:hint="default"/>
                      <w:sz w:val="15"/>
                      <w:szCs w:val="15"/>
                      <w:vertAlign w:val="baseline"/>
                      <w:lang w:val="en-US" w:eastAsia="zh-CN"/>
                    </w:rPr>
                  </w:pPr>
                </w:p>
              </w:tc>
              <w:tc>
                <w:tcPr>
                  <w:tcW w:w="1072"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洗脱机4</w:t>
                  </w:r>
                </w:p>
              </w:tc>
              <w:tc>
                <w:tcPr>
                  <w:tcW w:w="599"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70</w:t>
                  </w:r>
                </w:p>
              </w:tc>
              <w:tc>
                <w:tcPr>
                  <w:tcW w:w="739" w:type="dxa"/>
                  <w:vMerge w:val="continue"/>
                  <w:vAlign w:val="center"/>
                </w:tcPr>
                <w:p>
                  <w:pPr>
                    <w:bidi w:val="0"/>
                    <w:jc w:val="center"/>
                    <w:rPr>
                      <w:rFonts w:hint="default"/>
                      <w:sz w:val="15"/>
                      <w:szCs w:val="15"/>
                      <w:vertAlign w:val="baseline"/>
                      <w:lang w:val="en-US" w:eastAsia="zh-CN"/>
                    </w:rPr>
                  </w:pPr>
                </w:p>
              </w:tc>
              <w:tc>
                <w:tcPr>
                  <w:tcW w:w="622"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18.68</w:t>
                  </w:r>
                </w:p>
              </w:tc>
              <w:tc>
                <w:tcPr>
                  <w:tcW w:w="631"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16.14</w:t>
                  </w:r>
                </w:p>
              </w:tc>
              <w:tc>
                <w:tcPr>
                  <w:tcW w:w="580"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1.2</w:t>
                  </w:r>
                </w:p>
              </w:tc>
              <w:tc>
                <w:tcPr>
                  <w:tcW w:w="653" w:type="dxa"/>
                  <w:vMerge w:val="continue"/>
                  <w:vAlign w:val="center"/>
                </w:tcPr>
                <w:p>
                  <w:pPr>
                    <w:bidi w:val="0"/>
                    <w:jc w:val="center"/>
                    <w:rPr>
                      <w:rFonts w:hint="default"/>
                      <w:sz w:val="15"/>
                      <w:szCs w:val="15"/>
                      <w:vertAlign w:val="baseline"/>
                      <w:lang w:val="en-US" w:eastAsia="zh-CN"/>
                    </w:rPr>
                  </w:pPr>
                </w:p>
              </w:tc>
              <w:tc>
                <w:tcPr>
                  <w:tcW w:w="696"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20</w:t>
                  </w:r>
                </w:p>
              </w:tc>
              <w:tc>
                <w:tcPr>
                  <w:tcW w:w="664"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50</w:t>
                  </w:r>
                </w:p>
              </w:tc>
              <w:tc>
                <w:tcPr>
                  <w:tcW w:w="718"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5</w:t>
                  </w:r>
                </w:p>
              </w:tc>
              <w:tc>
                <w:tcPr>
                  <w:tcW w:w="547" w:type="dxa"/>
                  <w:vMerge w:val="continue"/>
                  <w:vAlign w:val="center"/>
                </w:tcPr>
                <w:p>
                  <w:pPr>
                    <w:bidi w:val="0"/>
                    <w:jc w:val="center"/>
                    <w:rPr>
                      <w:rFonts w:hint="default"/>
                      <w:sz w:val="15"/>
                      <w:szCs w:val="15"/>
                      <w:vertAlign w:val="baseline"/>
                      <w:lang w:val="en-US" w:eastAsia="zh-CN"/>
                    </w:rPr>
                  </w:pPr>
                </w:p>
              </w:tc>
              <w:tc>
                <w:tcPr>
                  <w:tcW w:w="1072"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洗脱机5</w:t>
                  </w:r>
                </w:p>
              </w:tc>
              <w:tc>
                <w:tcPr>
                  <w:tcW w:w="599"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70</w:t>
                  </w:r>
                </w:p>
              </w:tc>
              <w:tc>
                <w:tcPr>
                  <w:tcW w:w="739" w:type="dxa"/>
                  <w:vMerge w:val="continue"/>
                  <w:vAlign w:val="center"/>
                </w:tcPr>
                <w:p>
                  <w:pPr>
                    <w:bidi w:val="0"/>
                    <w:jc w:val="center"/>
                    <w:rPr>
                      <w:rFonts w:hint="default"/>
                      <w:sz w:val="15"/>
                      <w:szCs w:val="15"/>
                      <w:vertAlign w:val="baseline"/>
                      <w:lang w:val="en-US" w:eastAsia="zh-CN"/>
                    </w:rPr>
                  </w:pPr>
                </w:p>
              </w:tc>
              <w:tc>
                <w:tcPr>
                  <w:tcW w:w="622"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19.61</w:t>
                  </w:r>
                </w:p>
              </w:tc>
              <w:tc>
                <w:tcPr>
                  <w:tcW w:w="631"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18.93</w:t>
                  </w:r>
                </w:p>
              </w:tc>
              <w:tc>
                <w:tcPr>
                  <w:tcW w:w="580"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1.2</w:t>
                  </w:r>
                </w:p>
              </w:tc>
              <w:tc>
                <w:tcPr>
                  <w:tcW w:w="653" w:type="dxa"/>
                  <w:vMerge w:val="continue"/>
                  <w:vAlign w:val="center"/>
                </w:tcPr>
                <w:p>
                  <w:pPr>
                    <w:bidi w:val="0"/>
                    <w:jc w:val="center"/>
                    <w:rPr>
                      <w:rFonts w:hint="default"/>
                      <w:sz w:val="15"/>
                      <w:szCs w:val="15"/>
                      <w:vertAlign w:val="baseline"/>
                      <w:lang w:val="en-US" w:eastAsia="zh-CN"/>
                    </w:rPr>
                  </w:pPr>
                </w:p>
              </w:tc>
              <w:tc>
                <w:tcPr>
                  <w:tcW w:w="696"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20</w:t>
                  </w:r>
                </w:p>
              </w:tc>
              <w:tc>
                <w:tcPr>
                  <w:tcW w:w="664"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50</w:t>
                  </w:r>
                </w:p>
              </w:tc>
              <w:tc>
                <w:tcPr>
                  <w:tcW w:w="718"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6</w:t>
                  </w:r>
                </w:p>
              </w:tc>
              <w:tc>
                <w:tcPr>
                  <w:tcW w:w="547" w:type="dxa"/>
                  <w:vMerge w:val="continue"/>
                  <w:vAlign w:val="center"/>
                </w:tcPr>
                <w:p>
                  <w:pPr>
                    <w:bidi w:val="0"/>
                    <w:jc w:val="center"/>
                    <w:rPr>
                      <w:rFonts w:hint="default"/>
                      <w:sz w:val="15"/>
                      <w:szCs w:val="15"/>
                      <w:vertAlign w:val="baseline"/>
                      <w:lang w:val="en-US" w:eastAsia="zh-CN"/>
                    </w:rPr>
                  </w:pPr>
                </w:p>
              </w:tc>
              <w:tc>
                <w:tcPr>
                  <w:tcW w:w="1072"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烘干机1</w:t>
                  </w:r>
                </w:p>
              </w:tc>
              <w:tc>
                <w:tcPr>
                  <w:tcW w:w="599"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80</w:t>
                  </w:r>
                </w:p>
              </w:tc>
              <w:tc>
                <w:tcPr>
                  <w:tcW w:w="739" w:type="dxa"/>
                  <w:vMerge w:val="continue"/>
                  <w:vAlign w:val="center"/>
                </w:tcPr>
                <w:p>
                  <w:pPr>
                    <w:bidi w:val="0"/>
                    <w:jc w:val="center"/>
                    <w:rPr>
                      <w:rFonts w:hint="default"/>
                      <w:sz w:val="15"/>
                      <w:szCs w:val="15"/>
                      <w:vertAlign w:val="baseline"/>
                      <w:lang w:val="en-US" w:eastAsia="zh-CN"/>
                    </w:rPr>
                  </w:pPr>
                </w:p>
              </w:tc>
              <w:tc>
                <w:tcPr>
                  <w:tcW w:w="622"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20.54</w:t>
                  </w:r>
                </w:p>
              </w:tc>
              <w:tc>
                <w:tcPr>
                  <w:tcW w:w="631"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23.58</w:t>
                  </w:r>
                </w:p>
              </w:tc>
              <w:tc>
                <w:tcPr>
                  <w:tcW w:w="580"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1.2</w:t>
                  </w:r>
                </w:p>
              </w:tc>
              <w:tc>
                <w:tcPr>
                  <w:tcW w:w="653" w:type="dxa"/>
                  <w:vMerge w:val="continue"/>
                  <w:vAlign w:val="center"/>
                </w:tcPr>
                <w:p>
                  <w:pPr>
                    <w:bidi w:val="0"/>
                    <w:jc w:val="center"/>
                    <w:rPr>
                      <w:rFonts w:hint="default"/>
                      <w:sz w:val="15"/>
                      <w:szCs w:val="15"/>
                      <w:vertAlign w:val="baseline"/>
                      <w:lang w:val="en-US" w:eastAsia="zh-CN"/>
                    </w:rPr>
                  </w:pPr>
                </w:p>
              </w:tc>
              <w:tc>
                <w:tcPr>
                  <w:tcW w:w="696"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20</w:t>
                  </w:r>
                </w:p>
              </w:tc>
              <w:tc>
                <w:tcPr>
                  <w:tcW w:w="664"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60</w:t>
                  </w:r>
                </w:p>
              </w:tc>
              <w:tc>
                <w:tcPr>
                  <w:tcW w:w="718"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7</w:t>
                  </w:r>
                </w:p>
              </w:tc>
              <w:tc>
                <w:tcPr>
                  <w:tcW w:w="547" w:type="dxa"/>
                  <w:vMerge w:val="continue"/>
                  <w:vAlign w:val="center"/>
                </w:tcPr>
                <w:p>
                  <w:pPr>
                    <w:bidi w:val="0"/>
                    <w:jc w:val="center"/>
                    <w:rPr>
                      <w:rFonts w:hint="default"/>
                      <w:sz w:val="15"/>
                      <w:szCs w:val="15"/>
                      <w:vertAlign w:val="baseline"/>
                      <w:lang w:val="en-US" w:eastAsia="zh-CN"/>
                    </w:rPr>
                  </w:pPr>
                </w:p>
              </w:tc>
              <w:tc>
                <w:tcPr>
                  <w:tcW w:w="1072"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烘干机2</w:t>
                  </w:r>
                </w:p>
              </w:tc>
              <w:tc>
                <w:tcPr>
                  <w:tcW w:w="599"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80</w:t>
                  </w:r>
                </w:p>
              </w:tc>
              <w:tc>
                <w:tcPr>
                  <w:tcW w:w="739" w:type="dxa"/>
                  <w:vMerge w:val="continue"/>
                  <w:vAlign w:val="center"/>
                </w:tcPr>
                <w:p>
                  <w:pPr>
                    <w:bidi w:val="0"/>
                    <w:jc w:val="center"/>
                    <w:rPr>
                      <w:rFonts w:hint="default"/>
                      <w:sz w:val="15"/>
                      <w:szCs w:val="15"/>
                      <w:vertAlign w:val="baseline"/>
                      <w:lang w:val="en-US" w:eastAsia="zh-CN"/>
                    </w:rPr>
                  </w:pPr>
                </w:p>
              </w:tc>
              <w:tc>
                <w:tcPr>
                  <w:tcW w:w="622"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21</w:t>
                  </w:r>
                </w:p>
              </w:tc>
              <w:tc>
                <w:tcPr>
                  <w:tcW w:w="631"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25.91</w:t>
                  </w:r>
                </w:p>
              </w:tc>
              <w:tc>
                <w:tcPr>
                  <w:tcW w:w="580"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1.2</w:t>
                  </w:r>
                </w:p>
              </w:tc>
              <w:tc>
                <w:tcPr>
                  <w:tcW w:w="653" w:type="dxa"/>
                  <w:vMerge w:val="continue"/>
                  <w:vAlign w:val="center"/>
                </w:tcPr>
                <w:p>
                  <w:pPr>
                    <w:bidi w:val="0"/>
                    <w:jc w:val="center"/>
                    <w:rPr>
                      <w:rFonts w:hint="default"/>
                      <w:sz w:val="15"/>
                      <w:szCs w:val="15"/>
                      <w:vertAlign w:val="baseline"/>
                      <w:lang w:val="en-US" w:eastAsia="zh-CN"/>
                    </w:rPr>
                  </w:pPr>
                </w:p>
              </w:tc>
              <w:tc>
                <w:tcPr>
                  <w:tcW w:w="696"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20</w:t>
                  </w:r>
                </w:p>
              </w:tc>
              <w:tc>
                <w:tcPr>
                  <w:tcW w:w="664"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60</w:t>
                  </w:r>
                </w:p>
              </w:tc>
              <w:tc>
                <w:tcPr>
                  <w:tcW w:w="718"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8</w:t>
                  </w:r>
                </w:p>
              </w:tc>
              <w:tc>
                <w:tcPr>
                  <w:tcW w:w="547" w:type="dxa"/>
                  <w:vMerge w:val="continue"/>
                  <w:vAlign w:val="center"/>
                </w:tcPr>
                <w:p>
                  <w:pPr>
                    <w:bidi w:val="0"/>
                    <w:jc w:val="center"/>
                    <w:rPr>
                      <w:rFonts w:hint="default"/>
                      <w:sz w:val="15"/>
                      <w:szCs w:val="15"/>
                      <w:vertAlign w:val="baseline"/>
                      <w:lang w:val="en-US" w:eastAsia="zh-CN"/>
                    </w:rPr>
                  </w:pPr>
                </w:p>
              </w:tc>
              <w:tc>
                <w:tcPr>
                  <w:tcW w:w="1072"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烘干机3</w:t>
                  </w:r>
                </w:p>
              </w:tc>
              <w:tc>
                <w:tcPr>
                  <w:tcW w:w="599"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80</w:t>
                  </w:r>
                </w:p>
              </w:tc>
              <w:tc>
                <w:tcPr>
                  <w:tcW w:w="739" w:type="dxa"/>
                  <w:vMerge w:val="continue"/>
                  <w:vAlign w:val="center"/>
                </w:tcPr>
                <w:p>
                  <w:pPr>
                    <w:bidi w:val="0"/>
                    <w:jc w:val="center"/>
                    <w:rPr>
                      <w:rFonts w:hint="default"/>
                      <w:sz w:val="15"/>
                      <w:szCs w:val="15"/>
                      <w:vertAlign w:val="baseline"/>
                      <w:lang w:val="en-US" w:eastAsia="zh-CN"/>
                    </w:rPr>
                  </w:pPr>
                </w:p>
              </w:tc>
              <w:tc>
                <w:tcPr>
                  <w:tcW w:w="622"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21.47</w:t>
                  </w:r>
                </w:p>
              </w:tc>
              <w:tc>
                <w:tcPr>
                  <w:tcW w:w="631"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28.23</w:t>
                  </w:r>
                </w:p>
              </w:tc>
              <w:tc>
                <w:tcPr>
                  <w:tcW w:w="580"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1.2</w:t>
                  </w:r>
                </w:p>
              </w:tc>
              <w:tc>
                <w:tcPr>
                  <w:tcW w:w="653" w:type="dxa"/>
                  <w:vMerge w:val="continue"/>
                  <w:vAlign w:val="center"/>
                </w:tcPr>
                <w:p>
                  <w:pPr>
                    <w:bidi w:val="0"/>
                    <w:jc w:val="center"/>
                    <w:rPr>
                      <w:rFonts w:hint="default"/>
                      <w:sz w:val="15"/>
                      <w:szCs w:val="15"/>
                      <w:vertAlign w:val="baseline"/>
                      <w:lang w:val="en-US" w:eastAsia="zh-CN"/>
                    </w:rPr>
                  </w:pPr>
                </w:p>
              </w:tc>
              <w:tc>
                <w:tcPr>
                  <w:tcW w:w="696"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20</w:t>
                  </w:r>
                </w:p>
              </w:tc>
              <w:tc>
                <w:tcPr>
                  <w:tcW w:w="664"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60</w:t>
                  </w:r>
                </w:p>
              </w:tc>
              <w:tc>
                <w:tcPr>
                  <w:tcW w:w="718"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9</w:t>
                  </w:r>
                </w:p>
              </w:tc>
              <w:tc>
                <w:tcPr>
                  <w:tcW w:w="547" w:type="dxa"/>
                  <w:vMerge w:val="continue"/>
                  <w:vAlign w:val="center"/>
                </w:tcPr>
                <w:p>
                  <w:pPr>
                    <w:bidi w:val="0"/>
                    <w:jc w:val="center"/>
                    <w:rPr>
                      <w:rFonts w:hint="default"/>
                      <w:sz w:val="15"/>
                      <w:szCs w:val="15"/>
                      <w:vertAlign w:val="baseline"/>
                      <w:lang w:val="en-US" w:eastAsia="zh-CN"/>
                    </w:rPr>
                  </w:pPr>
                </w:p>
              </w:tc>
              <w:tc>
                <w:tcPr>
                  <w:tcW w:w="1072"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烫平机1</w:t>
                  </w:r>
                </w:p>
              </w:tc>
              <w:tc>
                <w:tcPr>
                  <w:tcW w:w="599"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75</w:t>
                  </w:r>
                </w:p>
              </w:tc>
              <w:tc>
                <w:tcPr>
                  <w:tcW w:w="739" w:type="dxa"/>
                  <w:vMerge w:val="continue"/>
                  <w:vAlign w:val="center"/>
                </w:tcPr>
                <w:p>
                  <w:pPr>
                    <w:bidi w:val="0"/>
                    <w:jc w:val="center"/>
                    <w:rPr>
                      <w:rFonts w:hint="default"/>
                      <w:sz w:val="15"/>
                      <w:szCs w:val="15"/>
                      <w:vertAlign w:val="baseline"/>
                      <w:lang w:val="en-US" w:eastAsia="zh-CN"/>
                    </w:rPr>
                  </w:pPr>
                </w:p>
              </w:tc>
              <w:tc>
                <w:tcPr>
                  <w:tcW w:w="622"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21.47</w:t>
                  </w:r>
                </w:p>
              </w:tc>
              <w:tc>
                <w:tcPr>
                  <w:tcW w:w="631"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33.81</w:t>
                  </w:r>
                </w:p>
              </w:tc>
              <w:tc>
                <w:tcPr>
                  <w:tcW w:w="580"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1.2</w:t>
                  </w:r>
                </w:p>
              </w:tc>
              <w:tc>
                <w:tcPr>
                  <w:tcW w:w="653" w:type="dxa"/>
                  <w:vMerge w:val="continue"/>
                  <w:vAlign w:val="center"/>
                </w:tcPr>
                <w:p>
                  <w:pPr>
                    <w:bidi w:val="0"/>
                    <w:jc w:val="center"/>
                    <w:rPr>
                      <w:rFonts w:hint="default"/>
                      <w:sz w:val="15"/>
                      <w:szCs w:val="15"/>
                      <w:vertAlign w:val="baseline"/>
                      <w:lang w:val="en-US" w:eastAsia="zh-CN"/>
                    </w:rPr>
                  </w:pPr>
                </w:p>
              </w:tc>
              <w:tc>
                <w:tcPr>
                  <w:tcW w:w="696"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20</w:t>
                  </w:r>
                </w:p>
              </w:tc>
              <w:tc>
                <w:tcPr>
                  <w:tcW w:w="664"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55</w:t>
                  </w:r>
                </w:p>
              </w:tc>
              <w:tc>
                <w:tcPr>
                  <w:tcW w:w="718"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10</w:t>
                  </w:r>
                </w:p>
              </w:tc>
              <w:tc>
                <w:tcPr>
                  <w:tcW w:w="547" w:type="dxa"/>
                  <w:vMerge w:val="continue"/>
                  <w:vAlign w:val="center"/>
                </w:tcPr>
                <w:p>
                  <w:pPr>
                    <w:bidi w:val="0"/>
                    <w:jc w:val="center"/>
                    <w:rPr>
                      <w:rFonts w:hint="default"/>
                      <w:sz w:val="15"/>
                      <w:szCs w:val="15"/>
                      <w:vertAlign w:val="baseline"/>
                      <w:lang w:val="en-US" w:eastAsia="zh-CN"/>
                    </w:rPr>
                  </w:pPr>
                </w:p>
              </w:tc>
              <w:tc>
                <w:tcPr>
                  <w:tcW w:w="1072"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烫平机2</w:t>
                  </w:r>
                </w:p>
              </w:tc>
              <w:tc>
                <w:tcPr>
                  <w:tcW w:w="599"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75</w:t>
                  </w:r>
                </w:p>
              </w:tc>
              <w:tc>
                <w:tcPr>
                  <w:tcW w:w="739" w:type="dxa"/>
                  <w:vMerge w:val="continue"/>
                  <w:vAlign w:val="center"/>
                </w:tcPr>
                <w:p>
                  <w:pPr>
                    <w:bidi w:val="0"/>
                    <w:jc w:val="center"/>
                    <w:rPr>
                      <w:rFonts w:hint="default"/>
                      <w:sz w:val="15"/>
                      <w:szCs w:val="15"/>
                      <w:vertAlign w:val="baseline"/>
                      <w:lang w:val="en-US" w:eastAsia="zh-CN"/>
                    </w:rPr>
                  </w:pPr>
                </w:p>
              </w:tc>
              <w:tc>
                <w:tcPr>
                  <w:tcW w:w="622"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16.82</w:t>
                  </w:r>
                </w:p>
              </w:tc>
              <w:tc>
                <w:tcPr>
                  <w:tcW w:w="631"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34.74</w:t>
                  </w:r>
                </w:p>
              </w:tc>
              <w:tc>
                <w:tcPr>
                  <w:tcW w:w="580"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1.2</w:t>
                  </w:r>
                </w:p>
              </w:tc>
              <w:tc>
                <w:tcPr>
                  <w:tcW w:w="653" w:type="dxa"/>
                  <w:vMerge w:val="continue"/>
                  <w:vAlign w:val="center"/>
                </w:tcPr>
                <w:p>
                  <w:pPr>
                    <w:bidi w:val="0"/>
                    <w:jc w:val="center"/>
                    <w:rPr>
                      <w:rFonts w:hint="default"/>
                      <w:sz w:val="15"/>
                      <w:szCs w:val="15"/>
                      <w:vertAlign w:val="baseline"/>
                      <w:lang w:val="en-US" w:eastAsia="zh-CN"/>
                    </w:rPr>
                  </w:pPr>
                </w:p>
              </w:tc>
              <w:tc>
                <w:tcPr>
                  <w:tcW w:w="696"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20</w:t>
                  </w:r>
                </w:p>
              </w:tc>
              <w:tc>
                <w:tcPr>
                  <w:tcW w:w="664"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55</w:t>
                  </w:r>
                </w:p>
              </w:tc>
              <w:tc>
                <w:tcPr>
                  <w:tcW w:w="718"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11</w:t>
                  </w:r>
                </w:p>
              </w:tc>
              <w:tc>
                <w:tcPr>
                  <w:tcW w:w="547" w:type="dxa"/>
                  <w:vMerge w:val="continue"/>
                  <w:vAlign w:val="center"/>
                </w:tcPr>
                <w:p>
                  <w:pPr>
                    <w:bidi w:val="0"/>
                    <w:jc w:val="center"/>
                    <w:rPr>
                      <w:rFonts w:hint="eastAsia"/>
                      <w:sz w:val="15"/>
                      <w:szCs w:val="15"/>
                      <w:vertAlign w:val="baseline"/>
                      <w:lang w:val="en-US" w:eastAsia="zh-CN"/>
                    </w:rPr>
                  </w:pPr>
                </w:p>
              </w:tc>
              <w:tc>
                <w:tcPr>
                  <w:tcW w:w="1072"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折叠机</w:t>
                  </w:r>
                </w:p>
              </w:tc>
              <w:tc>
                <w:tcPr>
                  <w:tcW w:w="599"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75</w:t>
                  </w:r>
                </w:p>
              </w:tc>
              <w:tc>
                <w:tcPr>
                  <w:tcW w:w="739" w:type="dxa"/>
                  <w:vMerge w:val="continue"/>
                  <w:vAlign w:val="center"/>
                </w:tcPr>
                <w:p>
                  <w:pPr>
                    <w:bidi w:val="0"/>
                    <w:jc w:val="center"/>
                    <w:rPr>
                      <w:rFonts w:hint="default"/>
                      <w:sz w:val="15"/>
                      <w:szCs w:val="15"/>
                      <w:vertAlign w:val="baseline"/>
                      <w:lang w:val="en-US" w:eastAsia="zh-CN"/>
                    </w:rPr>
                  </w:pPr>
                </w:p>
              </w:tc>
              <w:tc>
                <w:tcPr>
                  <w:tcW w:w="622"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19.61</w:t>
                  </w:r>
                </w:p>
              </w:tc>
              <w:tc>
                <w:tcPr>
                  <w:tcW w:w="631"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40.78</w:t>
                  </w:r>
                </w:p>
              </w:tc>
              <w:tc>
                <w:tcPr>
                  <w:tcW w:w="580"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1.2</w:t>
                  </w:r>
                </w:p>
              </w:tc>
              <w:tc>
                <w:tcPr>
                  <w:tcW w:w="653" w:type="dxa"/>
                  <w:vMerge w:val="continue"/>
                  <w:vAlign w:val="center"/>
                </w:tcPr>
                <w:p>
                  <w:pPr>
                    <w:bidi w:val="0"/>
                    <w:jc w:val="center"/>
                    <w:rPr>
                      <w:rFonts w:hint="default"/>
                      <w:sz w:val="15"/>
                      <w:szCs w:val="15"/>
                      <w:vertAlign w:val="baseline"/>
                      <w:lang w:val="en-US" w:eastAsia="zh-CN"/>
                    </w:rPr>
                  </w:pPr>
                </w:p>
              </w:tc>
              <w:tc>
                <w:tcPr>
                  <w:tcW w:w="696"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20</w:t>
                  </w:r>
                </w:p>
              </w:tc>
              <w:tc>
                <w:tcPr>
                  <w:tcW w:w="664"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55</w:t>
                  </w:r>
                </w:p>
              </w:tc>
              <w:tc>
                <w:tcPr>
                  <w:tcW w:w="718"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12</w:t>
                  </w:r>
                </w:p>
              </w:tc>
              <w:tc>
                <w:tcPr>
                  <w:tcW w:w="547" w:type="dxa"/>
                  <w:vMerge w:val="continue"/>
                  <w:vAlign w:val="center"/>
                </w:tcPr>
                <w:p>
                  <w:pPr>
                    <w:bidi w:val="0"/>
                    <w:jc w:val="center"/>
                    <w:rPr>
                      <w:rFonts w:hint="eastAsia"/>
                      <w:sz w:val="15"/>
                      <w:szCs w:val="15"/>
                      <w:vertAlign w:val="baseline"/>
                      <w:lang w:val="en-US" w:eastAsia="zh-CN"/>
                    </w:rPr>
                  </w:pPr>
                </w:p>
              </w:tc>
              <w:tc>
                <w:tcPr>
                  <w:tcW w:w="1072"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空压机</w:t>
                  </w:r>
                </w:p>
              </w:tc>
              <w:tc>
                <w:tcPr>
                  <w:tcW w:w="599"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85</w:t>
                  </w:r>
                </w:p>
              </w:tc>
              <w:tc>
                <w:tcPr>
                  <w:tcW w:w="739" w:type="dxa"/>
                  <w:vMerge w:val="continue"/>
                  <w:vAlign w:val="center"/>
                </w:tcPr>
                <w:p>
                  <w:pPr>
                    <w:bidi w:val="0"/>
                    <w:jc w:val="center"/>
                    <w:rPr>
                      <w:rFonts w:hint="default"/>
                      <w:sz w:val="15"/>
                      <w:szCs w:val="15"/>
                      <w:vertAlign w:val="baseline"/>
                      <w:lang w:val="en-US" w:eastAsia="zh-CN"/>
                    </w:rPr>
                  </w:pPr>
                </w:p>
              </w:tc>
              <w:tc>
                <w:tcPr>
                  <w:tcW w:w="622"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21</w:t>
                  </w:r>
                </w:p>
              </w:tc>
              <w:tc>
                <w:tcPr>
                  <w:tcW w:w="631"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37.06</w:t>
                  </w:r>
                </w:p>
              </w:tc>
              <w:tc>
                <w:tcPr>
                  <w:tcW w:w="580"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1.2</w:t>
                  </w:r>
                </w:p>
              </w:tc>
              <w:tc>
                <w:tcPr>
                  <w:tcW w:w="653" w:type="dxa"/>
                  <w:vMerge w:val="continue"/>
                  <w:vAlign w:val="center"/>
                </w:tcPr>
                <w:p>
                  <w:pPr>
                    <w:bidi w:val="0"/>
                    <w:jc w:val="center"/>
                    <w:rPr>
                      <w:rFonts w:hint="default"/>
                      <w:sz w:val="15"/>
                      <w:szCs w:val="15"/>
                      <w:vertAlign w:val="baseline"/>
                      <w:lang w:val="en-US" w:eastAsia="zh-CN"/>
                    </w:rPr>
                  </w:pPr>
                </w:p>
              </w:tc>
              <w:tc>
                <w:tcPr>
                  <w:tcW w:w="696"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20</w:t>
                  </w:r>
                </w:p>
              </w:tc>
              <w:tc>
                <w:tcPr>
                  <w:tcW w:w="664"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65</w:t>
                  </w:r>
                </w:p>
              </w:tc>
              <w:tc>
                <w:tcPr>
                  <w:tcW w:w="718"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13</w:t>
                  </w:r>
                </w:p>
              </w:tc>
              <w:tc>
                <w:tcPr>
                  <w:tcW w:w="547" w:type="dxa"/>
                  <w:vMerge w:val="continue"/>
                  <w:vAlign w:val="center"/>
                </w:tcPr>
                <w:p>
                  <w:pPr>
                    <w:bidi w:val="0"/>
                    <w:jc w:val="center"/>
                    <w:rPr>
                      <w:rFonts w:hint="eastAsia"/>
                      <w:sz w:val="15"/>
                      <w:szCs w:val="15"/>
                      <w:vertAlign w:val="baseline"/>
                      <w:lang w:val="en-US" w:eastAsia="zh-CN"/>
                    </w:rPr>
                  </w:pPr>
                </w:p>
              </w:tc>
              <w:tc>
                <w:tcPr>
                  <w:tcW w:w="1072"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风机</w:t>
                  </w:r>
                </w:p>
              </w:tc>
              <w:tc>
                <w:tcPr>
                  <w:tcW w:w="599"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80</w:t>
                  </w:r>
                </w:p>
              </w:tc>
              <w:tc>
                <w:tcPr>
                  <w:tcW w:w="739" w:type="dxa"/>
                  <w:vMerge w:val="continue"/>
                  <w:vAlign w:val="center"/>
                </w:tcPr>
                <w:p>
                  <w:pPr>
                    <w:bidi w:val="0"/>
                    <w:jc w:val="center"/>
                    <w:rPr>
                      <w:rFonts w:hint="default"/>
                      <w:sz w:val="15"/>
                      <w:szCs w:val="15"/>
                      <w:vertAlign w:val="baseline"/>
                      <w:lang w:val="en-US" w:eastAsia="zh-CN"/>
                    </w:rPr>
                  </w:pPr>
                </w:p>
              </w:tc>
              <w:tc>
                <w:tcPr>
                  <w:tcW w:w="622"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21.47</w:t>
                  </w:r>
                </w:p>
              </w:tc>
              <w:tc>
                <w:tcPr>
                  <w:tcW w:w="631"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11.5</w:t>
                  </w:r>
                </w:p>
              </w:tc>
              <w:tc>
                <w:tcPr>
                  <w:tcW w:w="580"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1.2</w:t>
                  </w:r>
                </w:p>
              </w:tc>
              <w:tc>
                <w:tcPr>
                  <w:tcW w:w="653" w:type="dxa"/>
                  <w:vMerge w:val="continue"/>
                  <w:vAlign w:val="center"/>
                </w:tcPr>
                <w:p>
                  <w:pPr>
                    <w:bidi w:val="0"/>
                    <w:jc w:val="center"/>
                    <w:rPr>
                      <w:rFonts w:hint="default"/>
                      <w:sz w:val="15"/>
                      <w:szCs w:val="15"/>
                      <w:vertAlign w:val="baseline"/>
                      <w:lang w:val="en-US" w:eastAsia="zh-CN"/>
                    </w:rPr>
                  </w:pPr>
                </w:p>
              </w:tc>
              <w:tc>
                <w:tcPr>
                  <w:tcW w:w="696"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20</w:t>
                  </w:r>
                </w:p>
              </w:tc>
              <w:tc>
                <w:tcPr>
                  <w:tcW w:w="664"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60</w:t>
                  </w:r>
                </w:p>
              </w:tc>
              <w:tc>
                <w:tcPr>
                  <w:tcW w:w="718"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14</w:t>
                  </w:r>
                </w:p>
              </w:tc>
              <w:tc>
                <w:tcPr>
                  <w:tcW w:w="547" w:type="dxa"/>
                  <w:vMerge w:val="continue"/>
                  <w:vAlign w:val="center"/>
                </w:tcPr>
                <w:p>
                  <w:pPr>
                    <w:bidi w:val="0"/>
                    <w:jc w:val="center"/>
                    <w:rPr>
                      <w:rFonts w:hint="default"/>
                      <w:sz w:val="15"/>
                      <w:szCs w:val="15"/>
                      <w:vertAlign w:val="baseline"/>
                      <w:lang w:val="en-US" w:eastAsia="zh-CN"/>
                    </w:rPr>
                  </w:pPr>
                </w:p>
              </w:tc>
              <w:tc>
                <w:tcPr>
                  <w:tcW w:w="1072"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生物质锅炉1</w:t>
                  </w:r>
                </w:p>
              </w:tc>
              <w:tc>
                <w:tcPr>
                  <w:tcW w:w="599"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70</w:t>
                  </w:r>
                </w:p>
              </w:tc>
              <w:tc>
                <w:tcPr>
                  <w:tcW w:w="739" w:type="dxa"/>
                  <w:vMerge w:val="continue"/>
                  <w:vAlign w:val="center"/>
                </w:tcPr>
                <w:p>
                  <w:pPr>
                    <w:bidi w:val="0"/>
                    <w:jc w:val="center"/>
                    <w:rPr>
                      <w:rFonts w:hint="default"/>
                      <w:sz w:val="15"/>
                      <w:szCs w:val="15"/>
                      <w:vertAlign w:val="baseline"/>
                      <w:lang w:val="en-US" w:eastAsia="zh-CN"/>
                    </w:rPr>
                  </w:pPr>
                </w:p>
              </w:tc>
              <w:tc>
                <w:tcPr>
                  <w:tcW w:w="622"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21.47</w:t>
                  </w:r>
                </w:p>
              </w:tc>
              <w:tc>
                <w:tcPr>
                  <w:tcW w:w="631"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0.8</w:t>
                  </w:r>
                </w:p>
              </w:tc>
              <w:tc>
                <w:tcPr>
                  <w:tcW w:w="580"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w:t>
                  </w:r>
                </w:p>
              </w:tc>
              <w:tc>
                <w:tcPr>
                  <w:tcW w:w="653" w:type="dxa"/>
                  <w:vMerge w:val="continue"/>
                  <w:vAlign w:val="center"/>
                </w:tcPr>
                <w:p>
                  <w:pPr>
                    <w:bidi w:val="0"/>
                    <w:jc w:val="center"/>
                    <w:rPr>
                      <w:rFonts w:hint="default"/>
                      <w:sz w:val="15"/>
                      <w:szCs w:val="15"/>
                      <w:vertAlign w:val="baseline"/>
                      <w:lang w:val="en-US" w:eastAsia="zh-CN"/>
                    </w:rPr>
                  </w:pPr>
                </w:p>
              </w:tc>
              <w:tc>
                <w:tcPr>
                  <w:tcW w:w="696"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20</w:t>
                  </w:r>
                </w:p>
              </w:tc>
              <w:tc>
                <w:tcPr>
                  <w:tcW w:w="664"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50</w:t>
                  </w:r>
                </w:p>
              </w:tc>
              <w:tc>
                <w:tcPr>
                  <w:tcW w:w="718"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0"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15</w:t>
                  </w:r>
                </w:p>
              </w:tc>
              <w:tc>
                <w:tcPr>
                  <w:tcW w:w="547" w:type="dxa"/>
                  <w:vMerge w:val="continue"/>
                  <w:vAlign w:val="center"/>
                </w:tcPr>
                <w:p>
                  <w:pPr>
                    <w:bidi w:val="0"/>
                    <w:jc w:val="center"/>
                    <w:rPr>
                      <w:rFonts w:hint="default"/>
                      <w:sz w:val="15"/>
                      <w:szCs w:val="15"/>
                      <w:vertAlign w:val="baseline"/>
                      <w:lang w:val="en-US" w:eastAsia="zh-CN"/>
                    </w:rPr>
                  </w:pPr>
                </w:p>
              </w:tc>
              <w:tc>
                <w:tcPr>
                  <w:tcW w:w="1072"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生物质锅炉2</w:t>
                  </w:r>
                </w:p>
              </w:tc>
              <w:tc>
                <w:tcPr>
                  <w:tcW w:w="599"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70</w:t>
                  </w:r>
                </w:p>
              </w:tc>
              <w:tc>
                <w:tcPr>
                  <w:tcW w:w="739" w:type="dxa"/>
                  <w:vMerge w:val="continue"/>
                  <w:vAlign w:val="center"/>
                </w:tcPr>
                <w:p>
                  <w:pPr>
                    <w:bidi w:val="0"/>
                    <w:jc w:val="center"/>
                    <w:rPr>
                      <w:rFonts w:hint="default"/>
                      <w:sz w:val="15"/>
                      <w:szCs w:val="15"/>
                      <w:vertAlign w:val="baseline"/>
                      <w:lang w:val="en-US" w:eastAsia="zh-CN"/>
                    </w:rPr>
                  </w:pPr>
                </w:p>
              </w:tc>
              <w:tc>
                <w:tcPr>
                  <w:tcW w:w="622"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26.58</w:t>
                  </w:r>
                </w:p>
              </w:tc>
              <w:tc>
                <w:tcPr>
                  <w:tcW w:w="631"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2.2</w:t>
                  </w:r>
                </w:p>
              </w:tc>
              <w:tc>
                <w:tcPr>
                  <w:tcW w:w="580"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w:t>
                  </w:r>
                </w:p>
              </w:tc>
              <w:tc>
                <w:tcPr>
                  <w:tcW w:w="653" w:type="dxa"/>
                  <w:vMerge w:val="continue"/>
                  <w:vAlign w:val="center"/>
                </w:tcPr>
                <w:p>
                  <w:pPr>
                    <w:bidi w:val="0"/>
                    <w:jc w:val="center"/>
                    <w:rPr>
                      <w:rFonts w:hint="default"/>
                      <w:sz w:val="15"/>
                      <w:szCs w:val="15"/>
                      <w:vertAlign w:val="baseline"/>
                      <w:lang w:val="en-US" w:eastAsia="zh-CN"/>
                    </w:rPr>
                  </w:pPr>
                </w:p>
              </w:tc>
              <w:tc>
                <w:tcPr>
                  <w:tcW w:w="696"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20</w:t>
                  </w:r>
                </w:p>
              </w:tc>
              <w:tc>
                <w:tcPr>
                  <w:tcW w:w="664"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50</w:t>
                  </w:r>
                </w:p>
              </w:tc>
              <w:tc>
                <w:tcPr>
                  <w:tcW w:w="718" w:type="dxa"/>
                  <w:vAlign w:val="center"/>
                </w:tcPr>
                <w:p>
                  <w:pPr>
                    <w:bidi w:val="0"/>
                    <w:jc w:val="center"/>
                    <w:rPr>
                      <w:rFonts w:hint="default"/>
                      <w:sz w:val="15"/>
                      <w:szCs w:val="15"/>
                      <w:vertAlign w:val="baseline"/>
                      <w:lang w:val="en-US" w:eastAsia="zh-CN"/>
                    </w:rPr>
                  </w:pPr>
                  <w:r>
                    <w:rPr>
                      <w:rFonts w:hint="eastAsia"/>
                      <w:sz w:val="15"/>
                      <w:szCs w:val="15"/>
                      <w:vertAlign w:val="baseline"/>
                      <w:lang w:val="en-US" w:eastAsia="zh-CN"/>
                    </w:rPr>
                    <w:t>1</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空间相对位置指以厂界西南侧（100.00199607,26.29066764）为坐标原点，正东向为X轴正方向，正北向为Y轴正方向。</w:t>
            </w:r>
          </w:p>
          <w:p>
            <w:pPr>
              <w:pStyle w:val="12"/>
              <w:spacing w:line="360" w:lineRule="auto"/>
              <w:ind w:firstLine="480" w:firstLineChars="200"/>
              <w:rPr>
                <w:b w:val="0"/>
                <w:bCs/>
                <w:color w:val="000000" w:themeColor="text1"/>
                <w:sz w:val="24"/>
                <w:szCs w:val="24"/>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w:t>
            </w:r>
            <w:r>
              <w:rPr>
                <w:rFonts w:hint="eastAsia"/>
                <w:b w:val="0"/>
                <w:bCs/>
                <w:color w:val="000000" w:themeColor="text1"/>
                <w:sz w:val="24"/>
                <w:szCs w:val="24"/>
                <w:lang w:val="en-US" w:eastAsia="zh-CN"/>
                <w14:textFill>
                  <w14:solidFill>
                    <w14:schemeClr w14:val="tx1"/>
                  </w14:solidFill>
                </w14:textFill>
              </w:rPr>
              <w:t>1</w:t>
            </w:r>
            <w:r>
              <w:rPr>
                <w:rFonts w:hint="eastAsia"/>
                <w:b w:val="0"/>
                <w:bCs/>
                <w:color w:val="000000" w:themeColor="text1"/>
                <w:sz w:val="24"/>
                <w:szCs w:val="24"/>
                <w:lang w:eastAsia="zh-CN"/>
                <w14:textFill>
                  <w14:solidFill>
                    <w14:schemeClr w14:val="tx1"/>
                  </w14:solidFill>
                </w14:textFill>
              </w:rPr>
              <w:t>）</w:t>
            </w:r>
            <w:r>
              <w:rPr>
                <w:b w:val="0"/>
                <w:bCs/>
                <w:color w:val="000000" w:themeColor="text1"/>
                <w:sz w:val="24"/>
                <w:szCs w:val="24"/>
                <w14:textFill>
                  <w14:solidFill>
                    <w14:schemeClr w14:val="tx1"/>
                  </w14:solidFill>
                </w14:textFill>
              </w:rPr>
              <w:t>噪声贡献值预测</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本次评价主要针对生产车间设备噪声进行预测分析，本项目所在区域周边50m范围内无声环境敏感目标，故预测点主要为项目厂界。在考虑室内吸声及距离衰减的情况下，对声源贡献值进行预测，预测模式如下：</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firstLine="482"/>
              <w:textAlignment w:val="auto"/>
              <w:rPr>
                <w:color w:val="000000" w:themeColor="text1"/>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噪声距离衰减模式</w:t>
            </w:r>
          </w:p>
          <w:p>
            <w:pPr>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2672715" cy="585470"/>
                  <wp:effectExtent l="0" t="0" r="13335" b="5080"/>
                  <wp:docPr id="2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4"/>
                          <pic:cNvPicPr>
                            <a:picLocks noChangeAspect="1"/>
                          </pic:cNvPicPr>
                        </pic:nvPicPr>
                        <pic:blipFill>
                          <a:blip r:embed="rId5"/>
                          <a:stretch>
                            <a:fillRect/>
                          </a:stretch>
                        </pic:blipFill>
                        <pic:spPr>
                          <a:xfrm>
                            <a:off x="0" y="0"/>
                            <a:ext cx="2672715" cy="585470"/>
                          </a:xfrm>
                          <a:prstGeom prst="rect">
                            <a:avLst/>
                          </a:prstGeom>
                          <a:noFill/>
                          <a:ln>
                            <a:noFill/>
                          </a:ln>
                        </pic:spPr>
                      </pic:pic>
                    </a:graphicData>
                  </a:graphic>
                </wp:inline>
              </w:drawing>
            </w:r>
          </w:p>
          <w:p>
            <w:pPr>
              <w:spacing w:line="360" w:lineRule="auto"/>
              <w:ind w:firstLine="480"/>
              <w:jc w:val="left"/>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式中：LA(r0)——参考位置r0处的A声级，dB(A)；</w:t>
            </w:r>
          </w:p>
          <w:p>
            <w:pPr>
              <w:spacing w:line="360" w:lineRule="auto"/>
              <w:ind w:firstLine="480"/>
              <w:jc w:val="left"/>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LA(r)——距离声源r处的A声级，dB(A)；</w:t>
            </w:r>
          </w:p>
          <w:p>
            <w:pPr>
              <w:spacing w:line="360" w:lineRule="auto"/>
              <w:ind w:firstLine="480"/>
              <w:jc w:val="left"/>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ΔL——声屏障、遮挡物、空气吸收及地面效应引起的衰减量；</w:t>
            </w:r>
          </w:p>
          <w:p>
            <w:pPr>
              <w:spacing w:line="360" w:lineRule="auto"/>
              <w:ind w:firstLine="480"/>
              <w:jc w:val="left"/>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r0、r——参考位置及预测点距声源的距离（m）。</w:t>
            </w:r>
          </w:p>
          <w:p>
            <w:pPr>
              <w:spacing w:line="360" w:lineRule="auto"/>
              <w:ind w:firstLine="480"/>
              <w:jc w:val="left"/>
              <w:rPr>
                <w:color w:val="000000" w:themeColor="text1"/>
                <w:sz w:val="24"/>
                <w:szCs w:val="24"/>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2）</w:t>
            </w:r>
            <w:r>
              <w:rPr>
                <w:bCs/>
                <w:color w:val="000000" w:themeColor="text1"/>
                <w:sz w:val="24"/>
                <w:szCs w:val="24"/>
                <w14:textFill>
                  <w14:solidFill>
                    <w14:schemeClr w14:val="tx1"/>
                  </w14:solidFill>
                </w14:textFill>
              </w:rPr>
              <w:t>项目声源在预测点产生的等效声级贡献值</w:t>
            </w:r>
          </w:p>
          <w:p>
            <w:pPr>
              <w:spacing w:line="360" w:lineRule="auto"/>
              <w:ind w:firstLine="480"/>
              <w:jc w:val="left"/>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项目声源在预测点产生的等效声级贡献值计算公式：</w:t>
            </w:r>
          </w:p>
          <w:p>
            <w:pPr>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2158365" cy="523875"/>
                  <wp:effectExtent l="0" t="0" r="13335" b="9525"/>
                  <wp:docPr id="26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5"/>
                          <pic:cNvPicPr>
                            <a:picLocks noChangeAspect="1"/>
                          </pic:cNvPicPr>
                        </pic:nvPicPr>
                        <pic:blipFill>
                          <a:blip r:embed="rId6"/>
                          <a:stretch>
                            <a:fillRect/>
                          </a:stretch>
                        </pic:blipFill>
                        <pic:spPr>
                          <a:xfrm>
                            <a:off x="0" y="0"/>
                            <a:ext cx="2158365" cy="523875"/>
                          </a:xfrm>
                          <a:prstGeom prst="rect">
                            <a:avLst/>
                          </a:prstGeom>
                          <a:noFill/>
                          <a:ln>
                            <a:noFill/>
                          </a:ln>
                        </pic:spPr>
                      </pic:pic>
                    </a:graphicData>
                  </a:graphic>
                </wp:inline>
              </w:drawing>
            </w:r>
          </w:p>
          <w:p>
            <w:pPr>
              <w:spacing w:line="360" w:lineRule="auto"/>
              <w:ind w:firstLine="48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式中：Leqg——项目声源在预测点的等效声级贡献值，dB(A)；</w:t>
            </w:r>
          </w:p>
          <w:p>
            <w:pPr>
              <w:spacing w:line="360" w:lineRule="auto"/>
              <w:ind w:firstLine="48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LAi——i 声源在预测点产生的A声级，dB(A)；</w:t>
            </w:r>
          </w:p>
          <w:p>
            <w:pPr>
              <w:spacing w:line="360" w:lineRule="auto"/>
              <w:ind w:firstLine="48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T——预测计算的时间段，s；</w:t>
            </w:r>
          </w:p>
          <w:p>
            <w:pPr>
              <w:spacing w:line="360" w:lineRule="auto"/>
              <w:ind w:firstLine="48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ti——i声源在T时段内的运行时间，s。</w:t>
            </w:r>
          </w:p>
          <w:p>
            <w:pPr>
              <w:spacing w:line="360" w:lineRule="auto"/>
              <w:ind w:firstLine="480"/>
              <w:rPr>
                <w:bCs/>
                <w:color w:val="000000" w:themeColor="text1"/>
                <w:sz w:val="24"/>
                <w:szCs w:val="24"/>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3）</w:t>
            </w:r>
            <w:r>
              <w:rPr>
                <w:bCs/>
                <w:color w:val="000000" w:themeColor="text1"/>
                <w:sz w:val="24"/>
                <w:szCs w:val="24"/>
                <w14:textFill>
                  <w14:solidFill>
                    <w14:schemeClr w14:val="tx1"/>
                  </w14:solidFill>
                </w14:textFill>
              </w:rPr>
              <w:t>预测点的预测等效声级</w:t>
            </w:r>
          </w:p>
          <w:p>
            <w:pPr>
              <w:spacing w:line="360" w:lineRule="auto"/>
              <w:ind w:firstLine="480"/>
              <w:rPr>
                <w:bCs/>
                <w:color w:val="000000" w:themeColor="text1"/>
                <w14:textFill>
                  <w14:solidFill>
                    <w14:schemeClr w14:val="tx1"/>
                  </w14:solidFill>
                </w14:textFill>
              </w:rPr>
            </w:pPr>
            <w:r>
              <w:rPr>
                <w:bCs/>
                <w:color w:val="000000" w:themeColor="text1"/>
                <w:sz w:val="24"/>
                <w:szCs w:val="24"/>
                <w14:textFill>
                  <w14:solidFill>
                    <w14:schemeClr w14:val="tx1"/>
                  </w14:solidFill>
                </w14:textFill>
              </w:rPr>
              <w:t>预测点的预测等效声级计算公式：</w:t>
            </w:r>
          </w:p>
          <w:p>
            <w:pPr>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1914525" cy="342900"/>
                  <wp:effectExtent l="0" t="0" r="9525" b="0"/>
                  <wp:docPr id="26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6"/>
                          <pic:cNvPicPr>
                            <a:picLocks noChangeAspect="1"/>
                          </pic:cNvPicPr>
                        </pic:nvPicPr>
                        <pic:blipFill>
                          <a:blip r:embed="rId7"/>
                          <a:stretch>
                            <a:fillRect/>
                          </a:stretch>
                        </pic:blipFill>
                        <pic:spPr>
                          <a:xfrm>
                            <a:off x="0" y="0"/>
                            <a:ext cx="1914525" cy="342900"/>
                          </a:xfrm>
                          <a:prstGeom prst="rect">
                            <a:avLst/>
                          </a:prstGeom>
                          <a:noFill/>
                          <a:ln>
                            <a:noFill/>
                          </a:ln>
                        </pic:spPr>
                      </pic:pic>
                    </a:graphicData>
                  </a:graphic>
                </wp:inline>
              </w:drawing>
            </w:r>
          </w:p>
          <w:p>
            <w:pPr>
              <w:spacing w:line="360" w:lineRule="auto"/>
              <w:ind w:firstLine="48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式中：Leq——预测点的预测等效声级，dB(A)；</w:t>
            </w:r>
          </w:p>
          <w:p>
            <w:pPr>
              <w:spacing w:line="360" w:lineRule="auto"/>
              <w:ind w:firstLine="48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Leqg——项目声源在预测点的等效声级贡献值，dB(A)；</w:t>
            </w:r>
          </w:p>
          <w:p>
            <w:pPr>
              <w:spacing w:line="360" w:lineRule="auto"/>
              <w:ind w:firstLine="480"/>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Leqb——预测点的背景值，dB(A)。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本项目噪声衰减除几何发散衰减后的其他衰减（包括空气吸收衰减、屏障物和地面效应引起的衰减、其他附加衰减）取值的因素很多，项目加工设备均位于车间内，本报告主要考虑厂房隔声，厂区围墙墙体隔声和距离衰减影响，厂房隔声及厂区围墙墙体隔声衰减值取20dB（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color w:val="000000" w:themeColor="text1"/>
                <w:sz w:val="24"/>
                <w:szCs w:val="24"/>
                <w14:textFill>
                  <w14:solidFill>
                    <w14:schemeClr w14:val="tx1"/>
                  </w14:solidFill>
                </w14:textFill>
              </w:rPr>
            </w:pPr>
            <w:r>
              <w:rPr>
                <w:rFonts w:hint="eastAsia"/>
                <w:b w:val="0"/>
                <w:bCs/>
                <w:color w:val="000000" w:themeColor="text1"/>
                <w:sz w:val="24"/>
                <w:szCs w:val="24"/>
                <w:lang w:eastAsia="zh-CN"/>
                <w14:textFill>
                  <w14:solidFill>
                    <w14:schemeClr w14:val="tx1"/>
                  </w14:solidFill>
                </w14:textFill>
              </w:rPr>
              <w:t>（</w:t>
            </w:r>
            <w:r>
              <w:rPr>
                <w:rFonts w:hint="eastAsia"/>
                <w:b w:val="0"/>
                <w:bCs/>
                <w:color w:val="000000" w:themeColor="text1"/>
                <w:sz w:val="24"/>
                <w:szCs w:val="24"/>
                <w:lang w:val="en-US" w:eastAsia="zh-CN"/>
                <w14:textFill>
                  <w14:solidFill>
                    <w14:schemeClr w14:val="tx1"/>
                  </w14:solidFill>
                </w14:textFill>
              </w:rPr>
              <w:t>2</w:t>
            </w:r>
            <w:r>
              <w:rPr>
                <w:rFonts w:hint="eastAsia"/>
                <w:b w:val="0"/>
                <w:bCs/>
                <w:color w:val="000000" w:themeColor="text1"/>
                <w:sz w:val="24"/>
                <w:szCs w:val="24"/>
                <w:lang w:eastAsia="zh-CN"/>
                <w14:textFill>
                  <w14:solidFill>
                    <w14:schemeClr w14:val="tx1"/>
                  </w14:solidFill>
                </w14:textFill>
              </w:rPr>
              <w:t>）</w:t>
            </w:r>
            <w:r>
              <w:rPr>
                <w:b w:val="0"/>
                <w:bCs/>
                <w:color w:val="000000" w:themeColor="text1"/>
                <w:sz w:val="24"/>
                <w:szCs w:val="24"/>
                <w14:textFill>
                  <w14:solidFill>
                    <w14:schemeClr w14:val="tx1"/>
                  </w14:solidFill>
                </w14:textFill>
              </w:rPr>
              <w:t>项目噪声达标分析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根据《建设项目环境影响报告表编制技术指南（污染影响类）（试行）》分析，利用噪声预测软件采用室内声源等效室外声源声功率级计算方法，预测噪声源对项目厂界及敏感点的影响，结果如下表所示：</w:t>
            </w:r>
          </w:p>
          <w:p>
            <w:pPr>
              <w:pStyle w:val="13"/>
              <w:ind w:firstLine="480"/>
              <w:rPr>
                <w:color w:val="000000" w:themeColor="text1"/>
                <w14:textFill>
                  <w14:solidFill>
                    <w14:schemeClr w14:val="tx1"/>
                  </w14:solidFill>
                </w14:textFill>
              </w:rPr>
            </w:pPr>
            <w:r>
              <w:rPr>
                <w:color w:val="000000" w:themeColor="text1"/>
                <w14:textFill>
                  <w14:solidFill>
                    <w14:schemeClr w14:val="tx1"/>
                  </w14:solidFill>
                </w14:textFill>
              </w:rPr>
              <w:t>表4</w:t>
            </w:r>
            <w:r>
              <w:rPr>
                <w:rFonts w:hint="eastAsia"/>
                <w:color w:val="000000" w:themeColor="text1"/>
                <w:lang w:val="en-US" w:eastAsia="zh-CN"/>
                <w14:textFill>
                  <w14:solidFill>
                    <w14:schemeClr w14:val="tx1"/>
                  </w14:solidFill>
                </w14:textFill>
              </w:rPr>
              <w:t>-17</w:t>
            </w:r>
            <w:r>
              <w:rPr>
                <w:color w:val="000000" w:themeColor="text1"/>
                <w14:textFill>
                  <w14:solidFill>
                    <w14:schemeClr w14:val="tx1"/>
                  </w14:solidFill>
                </w14:textFill>
              </w:rPr>
              <w:t xml:space="preserve">  厂界噪声预测结果与达标分析表</w:t>
            </w:r>
          </w:p>
          <w:tbl>
            <w:tblPr>
              <w:tblStyle w:val="6"/>
              <w:tblW w:w="79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746"/>
              <w:gridCol w:w="747"/>
              <w:gridCol w:w="750"/>
              <w:gridCol w:w="923"/>
              <w:gridCol w:w="1318"/>
              <w:gridCol w:w="1318"/>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1020" w:type="dxa"/>
                  <w:vMerge w:val="restart"/>
                  <w:tcBorders>
                    <w:top w:val="single" w:color="auto" w:sz="4" w:space="0"/>
                    <w:left w:val="single" w:color="auto" w:sz="4" w:space="0"/>
                    <w:bottom w:val="single" w:color="auto" w:sz="4" w:space="0"/>
                    <w:right w:val="single" w:color="auto" w:sz="4" w:space="0"/>
                  </w:tcBorders>
                  <w:noWrap w:val="0"/>
                  <w:vAlign w:val="center"/>
                </w:tcPr>
                <w:p>
                  <w:pPr>
                    <w:pStyle w:val="11"/>
                    <w:rPr>
                      <w:b/>
                      <w:bCs/>
                      <w:color w:val="000000" w:themeColor="text1"/>
                      <w:kern w:val="0"/>
                      <w14:textFill>
                        <w14:solidFill>
                          <w14:schemeClr w14:val="tx1"/>
                        </w14:solidFill>
                      </w14:textFill>
                    </w:rPr>
                  </w:pPr>
                  <w:r>
                    <w:rPr>
                      <w:b/>
                      <w:bCs/>
                      <w:color w:val="000000" w:themeColor="text1"/>
                      <w14:textFill>
                        <w14:solidFill>
                          <w14:schemeClr w14:val="tx1"/>
                        </w14:solidFill>
                      </w14:textFill>
                    </w:rPr>
                    <w:t>预测方位</w:t>
                  </w:r>
                </w:p>
              </w:tc>
              <w:tc>
                <w:tcPr>
                  <w:tcW w:w="2243" w:type="dxa"/>
                  <w:gridSpan w:val="3"/>
                  <w:tcBorders>
                    <w:top w:val="single" w:color="auto" w:sz="4" w:space="0"/>
                    <w:left w:val="single" w:color="auto" w:sz="4" w:space="0"/>
                    <w:bottom w:val="single" w:color="auto" w:sz="4" w:space="0"/>
                    <w:right w:val="single" w:color="auto" w:sz="4" w:space="0"/>
                  </w:tcBorders>
                  <w:noWrap w:val="0"/>
                  <w:vAlign w:val="center"/>
                </w:tcPr>
                <w:p>
                  <w:pPr>
                    <w:pStyle w:val="11"/>
                    <w:rPr>
                      <w:b/>
                      <w:bCs/>
                      <w:color w:val="000000" w:themeColor="text1"/>
                      <w14:textFill>
                        <w14:solidFill>
                          <w14:schemeClr w14:val="tx1"/>
                        </w14:solidFill>
                      </w14:textFill>
                    </w:rPr>
                  </w:pPr>
                  <w:r>
                    <w:rPr>
                      <w:b/>
                      <w:bCs/>
                      <w:color w:val="000000" w:themeColor="text1"/>
                      <w14:textFill>
                        <w14:solidFill>
                          <w14:schemeClr w14:val="tx1"/>
                        </w14:solidFill>
                      </w14:textFill>
                    </w:rPr>
                    <w:t>最大值点空间相对位置/m</w:t>
                  </w:r>
                </w:p>
              </w:tc>
              <w:tc>
                <w:tcPr>
                  <w:tcW w:w="923" w:type="dxa"/>
                  <w:vMerge w:val="restart"/>
                  <w:tcBorders>
                    <w:top w:val="single" w:color="auto" w:sz="4" w:space="0"/>
                    <w:left w:val="single" w:color="auto" w:sz="4" w:space="0"/>
                    <w:bottom w:val="single" w:color="auto" w:sz="4" w:space="0"/>
                    <w:right w:val="single" w:color="auto" w:sz="4" w:space="0"/>
                  </w:tcBorders>
                  <w:noWrap w:val="0"/>
                  <w:vAlign w:val="center"/>
                </w:tcPr>
                <w:p>
                  <w:pPr>
                    <w:pStyle w:val="11"/>
                    <w:rPr>
                      <w:b/>
                      <w:bCs/>
                      <w:color w:val="000000" w:themeColor="text1"/>
                      <w14:textFill>
                        <w14:solidFill>
                          <w14:schemeClr w14:val="tx1"/>
                        </w14:solidFill>
                      </w14:textFill>
                    </w:rPr>
                  </w:pPr>
                  <w:r>
                    <w:rPr>
                      <w:b/>
                      <w:bCs/>
                      <w:color w:val="000000" w:themeColor="text1"/>
                      <w14:textFill>
                        <w14:solidFill>
                          <w14:schemeClr w14:val="tx1"/>
                        </w14:solidFill>
                      </w14:textFill>
                    </w:rPr>
                    <w:t>时段</w:t>
                  </w:r>
                </w:p>
              </w:tc>
              <w:tc>
                <w:tcPr>
                  <w:tcW w:w="1318" w:type="dxa"/>
                  <w:vMerge w:val="restart"/>
                  <w:tcBorders>
                    <w:top w:val="single" w:color="auto" w:sz="4" w:space="0"/>
                    <w:left w:val="single" w:color="auto" w:sz="4" w:space="0"/>
                    <w:bottom w:val="single" w:color="auto" w:sz="4" w:space="0"/>
                    <w:right w:val="single" w:color="auto" w:sz="4" w:space="0"/>
                  </w:tcBorders>
                  <w:noWrap w:val="0"/>
                  <w:vAlign w:val="center"/>
                </w:tcPr>
                <w:p>
                  <w:pPr>
                    <w:pStyle w:val="11"/>
                    <w:rPr>
                      <w:b/>
                      <w:bCs/>
                      <w:color w:val="000000" w:themeColor="text1"/>
                      <w14:textFill>
                        <w14:solidFill>
                          <w14:schemeClr w14:val="tx1"/>
                        </w14:solidFill>
                      </w14:textFill>
                    </w:rPr>
                  </w:pPr>
                  <w:r>
                    <w:rPr>
                      <w:b/>
                      <w:bCs/>
                      <w:color w:val="000000" w:themeColor="text1"/>
                      <w14:textFill>
                        <w14:solidFill>
                          <w14:schemeClr w14:val="tx1"/>
                        </w14:solidFill>
                      </w14:textFill>
                    </w:rPr>
                    <w:t>贡献值（dB(A)）</w:t>
                  </w:r>
                </w:p>
              </w:tc>
              <w:tc>
                <w:tcPr>
                  <w:tcW w:w="1318" w:type="dxa"/>
                  <w:vMerge w:val="restart"/>
                  <w:tcBorders>
                    <w:top w:val="single" w:color="auto" w:sz="4" w:space="0"/>
                    <w:left w:val="single" w:color="auto" w:sz="4" w:space="0"/>
                    <w:bottom w:val="single" w:color="auto" w:sz="4" w:space="0"/>
                    <w:right w:val="single" w:color="auto" w:sz="4" w:space="0"/>
                  </w:tcBorders>
                  <w:noWrap w:val="0"/>
                  <w:vAlign w:val="center"/>
                </w:tcPr>
                <w:p>
                  <w:pPr>
                    <w:pStyle w:val="11"/>
                    <w:rPr>
                      <w:b/>
                      <w:bCs/>
                      <w:color w:val="000000" w:themeColor="text1"/>
                      <w14:textFill>
                        <w14:solidFill>
                          <w14:schemeClr w14:val="tx1"/>
                        </w14:solidFill>
                      </w14:textFill>
                    </w:rPr>
                  </w:pPr>
                  <w:r>
                    <w:rPr>
                      <w:b/>
                      <w:bCs/>
                      <w:color w:val="000000" w:themeColor="text1"/>
                      <w14:textFill>
                        <w14:solidFill>
                          <w14:schemeClr w14:val="tx1"/>
                        </w14:solidFill>
                      </w14:textFill>
                    </w:rPr>
                    <w:t>标准限值（dB(A)）</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pStyle w:val="11"/>
                    <w:rPr>
                      <w:b/>
                      <w:bCs/>
                      <w:color w:val="000000" w:themeColor="text1"/>
                      <w14:textFill>
                        <w14:solidFill>
                          <w14:schemeClr w14:val="tx1"/>
                        </w14:solidFill>
                      </w14:textFill>
                    </w:rPr>
                  </w:pPr>
                  <w:r>
                    <w:rPr>
                      <w:b/>
                      <w:bCs/>
                      <w:color w:val="000000" w:themeColor="text1"/>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1"/>
                    <w:rPr>
                      <w:color w:val="000000" w:themeColor="text1"/>
                      <w14:textFill>
                        <w14:solidFill>
                          <w14:schemeClr w14:val="tx1"/>
                        </w14:solidFill>
                      </w14:textFill>
                    </w:rPr>
                  </w:pPr>
                </w:p>
              </w:tc>
              <w:tc>
                <w:tcPr>
                  <w:tcW w:w="7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color w:val="000000" w:themeColor="text1"/>
                      <w14:textFill>
                        <w14:solidFill>
                          <w14:schemeClr w14:val="tx1"/>
                        </w14:solidFill>
                      </w14:textFill>
                    </w:rPr>
                  </w:pPr>
                  <w:r>
                    <w:rPr>
                      <w:color w:val="000000" w:themeColor="text1"/>
                      <w14:textFill>
                        <w14:solidFill>
                          <w14:schemeClr w14:val="tx1"/>
                        </w14:solidFill>
                      </w14:textFill>
                    </w:rPr>
                    <w:t>X</w:t>
                  </w:r>
                </w:p>
              </w:tc>
              <w:tc>
                <w:tcPr>
                  <w:tcW w:w="74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color w:val="000000" w:themeColor="text1"/>
                      <w14:textFill>
                        <w14:solidFill>
                          <w14:schemeClr w14:val="tx1"/>
                        </w14:solidFill>
                      </w14:textFill>
                    </w:rPr>
                  </w:pPr>
                  <w:r>
                    <w:rPr>
                      <w:color w:val="000000" w:themeColor="text1"/>
                      <w14:textFill>
                        <w14:solidFill>
                          <w14:schemeClr w14:val="tx1"/>
                        </w14:solidFill>
                      </w14:textFill>
                    </w:rPr>
                    <w:t>Y</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color w:val="000000" w:themeColor="text1"/>
                      <w14:textFill>
                        <w14:solidFill>
                          <w14:schemeClr w14:val="tx1"/>
                        </w14:solidFill>
                      </w14:textFill>
                    </w:rPr>
                  </w:pPr>
                  <w:r>
                    <w:rPr>
                      <w:color w:val="000000" w:themeColor="text1"/>
                      <w14:textFill>
                        <w14:solidFill>
                          <w14:schemeClr w14:val="tx1"/>
                        </w14:solidFill>
                      </w14:textFill>
                    </w:rPr>
                    <w:t>Z</w:t>
                  </w:r>
                </w:p>
              </w:tc>
              <w:tc>
                <w:tcPr>
                  <w:tcW w:w="923" w:type="dxa"/>
                  <w:vMerge w:val="continue"/>
                  <w:tcBorders>
                    <w:top w:val="single" w:color="auto" w:sz="4" w:space="0"/>
                    <w:left w:val="single" w:color="auto" w:sz="4" w:space="0"/>
                    <w:bottom w:val="single" w:color="auto" w:sz="4" w:space="0"/>
                    <w:right w:val="single" w:color="auto" w:sz="4" w:space="0"/>
                  </w:tcBorders>
                  <w:noWrap w:val="0"/>
                  <w:vAlign w:val="center"/>
                </w:tcPr>
                <w:p>
                  <w:pPr>
                    <w:pStyle w:val="11"/>
                    <w:rPr>
                      <w:color w:val="000000" w:themeColor="text1"/>
                      <w14:textFill>
                        <w14:solidFill>
                          <w14:schemeClr w14:val="tx1"/>
                        </w14:solidFill>
                      </w14:textFill>
                    </w:rPr>
                  </w:pPr>
                </w:p>
              </w:tc>
              <w:tc>
                <w:tcPr>
                  <w:tcW w:w="1318" w:type="dxa"/>
                  <w:vMerge w:val="continue"/>
                  <w:tcBorders>
                    <w:top w:val="single" w:color="auto" w:sz="4" w:space="0"/>
                    <w:left w:val="single" w:color="auto" w:sz="4" w:space="0"/>
                    <w:bottom w:val="single" w:color="auto" w:sz="4" w:space="0"/>
                    <w:right w:val="single" w:color="auto" w:sz="4" w:space="0"/>
                  </w:tcBorders>
                  <w:noWrap w:val="0"/>
                  <w:vAlign w:val="center"/>
                </w:tcPr>
                <w:p>
                  <w:pPr>
                    <w:pStyle w:val="11"/>
                    <w:rPr>
                      <w:color w:val="000000" w:themeColor="text1"/>
                      <w14:textFill>
                        <w14:solidFill>
                          <w14:schemeClr w14:val="tx1"/>
                        </w14:solidFill>
                      </w14:textFill>
                    </w:rPr>
                  </w:pPr>
                </w:p>
              </w:tc>
              <w:tc>
                <w:tcPr>
                  <w:tcW w:w="1318" w:type="dxa"/>
                  <w:vMerge w:val="continue"/>
                  <w:tcBorders>
                    <w:top w:val="single" w:color="auto" w:sz="4" w:space="0"/>
                    <w:left w:val="single" w:color="auto" w:sz="4" w:space="0"/>
                    <w:bottom w:val="single" w:color="auto" w:sz="4" w:space="0"/>
                    <w:right w:val="single" w:color="auto" w:sz="4" w:space="0"/>
                  </w:tcBorders>
                  <w:noWrap w:val="0"/>
                  <w:vAlign w:val="center"/>
                </w:tcPr>
                <w:p>
                  <w:pPr>
                    <w:pStyle w:val="11"/>
                    <w:rPr>
                      <w:color w:val="000000" w:themeColor="text1"/>
                      <w14:textFill>
                        <w14:solidFill>
                          <w14:schemeClr w14:val="tx1"/>
                        </w14:solidFill>
                      </w14:textFill>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11"/>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rFonts w:hint="eastAsia" w:eastAsiaTheme="minorEastAsia"/>
                      <w:color w:val="000000" w:themeColor="text1"/>
                      <w:sz w:val="22"/>
                      <w:szCs w:val="22"/>
                      <w:lang w:eastAsia="zh-CN"/>
                      <w14:textFill>
                        <w14:solidFill>
                          <w14:schemeClr w14:val="tx1"/>
                        </w14:solidFill>
                      </w14:textFill>
                    </w:rPr>
                  </w:pPr>
                  <w:r>
                    <w:rPr>
                      <w:rFonts w:hint="eastAsia"/>
                      <w:color w:val="000000" w:themeColor="text1"/>
                      <w:sz w:val="20"/>
                      <w:lang w:eastAsia="zh-CN"/>
                      <w14:textFill>
                        <w14:solidFill>
                          <w14:schemeClr w14:val="tx1"/>
                        </w14:solidFill>
                      </w14:textFill>
                    </w:rPr>
                    <w:t>北侧</w:t>
                  </w:r>
                </w:p>
              </w:tc>
              <w:tc>
                <w:tcPr>
                  <w:tcW w:w="7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19.14</w:t>
                  </w:r>
                </w:p>
              </w:tc>
              <w:tc>
                <w:tcPr>
                  <w:tcW w:w="74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rFonts w:hint="default" w:eastAsiaTheme="minorEastAsia"/>
                      <w:color w:val="000000" w:themeColor="text1"/>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64.49</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color w:val="000000" w:themeColor="text1"/>
                      <w14:textFill>
                        <w14:solidFill>
                          <w14:schemeClr w14:val="tx1"/>
                        </w14:solidFill>
                      </w14:textFill>
                    </w:rPr>
                  </w:pPr>
                  <w:r>
                    <w:rPr>
                      <w:rFonts w:eastAsia="Arial"/>
                      <w:color w:val="000000" w:themeColor="text1"/>
                      <w:sz w:val="20"/>
                      <w14:textFill>
                        <w14:solidFill>
                          <w14:schemeClr w14:val="tx1"/>
                        </w14:solidFill>
                      </w14:textFill>
                    </w:rPr>
                    <w:t>1.2</w:t>
                  </w: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color w:val="000000" w:themeColor="text1"/>
                      <w14:textFill>
                        <w14:solidFill>
                          <w14:schemeClr w14:val="tx1"/>
                        </w14:solidFill>
                      </w14:textFill>
                    </w:rPr>
                  </w:pPr>
                  <w:r>
                    <w:rPr>
                      <w:color w:val="000000" w:themeColor="text1"/>
                      <w:sz w:val="20"/>
                      <w14:textFill>
                        <w14:solidFill>
                          <w14:schemeClr w14:val="tx1"/>
                        </w14:solidFill>
                      </w14:textFill>
                    </w:rPr>
                    <w:t>昼间</w:t>
                  </w:r>
                </w:p>
              </w:tc>
              <w:tc>
                <w:tcPr>
                  <w:tcW w:w="13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rFonts w:hint="default" w:eastAsiaTheme="minorEastAsia"/>
                      <w:color w:val="000000" w:themeColor="text1"/>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53.71</w:t>
                  </w:r>
                </w:p>
              </w:tc>
              <w:tc>
                <w:tcPr>
                  <w:tcW w:w="13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color w:val="000000" w:themeColor="text1"/>
                      <w14:textFill>
                        <w14:solidFill>
                          <w14:schemeClr w14:val="tx1"/>
                        </w14:solidFill>
                      </w14:textFill>
                    </w:rPr>
                  </w:pPr>
                  <w:r>
                    <w:rPr>
                      <w:rFonts w:eastAsia="Arial"/>
                      <w:color w:val="000000" w:themeColor="text1"/>
                      <w:sz w:val="20"/>
                      <w14:textFill>
                        <w14:solidFill>
                          <w14:schemeClr w14:val="tx1"/>
                        </w14:solidFill>
                      </w14:textFill>
                    </w:rPr>
                    <w:t>60</w:t>
                  </w:r>
                </w:p>
              </w:tc>
              <w:tc>
                <w:tcPr>
                  <w:tcW w:w="11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color w:val="000000" w:themeColor="text1"/>
                      <w14:textFill>
                        <w14:solidFill>
                          <w14:schemeClr w14:val="tx1"/>
                        </w14:solidFill>
                      </w14:textFill>
                    </w:rPr>
                  </w:pPr>
                  <w:r>
                    <w:rPr>
                      <w:color w:val="000000" w:themeColor="text1"/>
                      <w:sz w:val="20"/>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color w:val="000000" w:themeColor="text1"/>
                      <w14:textFill>
                        <w14:solidFill>
                          <w14:schemeClr w14:val="tx1"/>
                        </w14:solidFill>
                      </w14:textFill>
                    </w:rPr>
                  </w:pPr>
                  <w:r>
                    <w:rPr>
                      <w:color w:val="000000" w:themeColor="text1"/>
                      <w:sz w:val="20"/>
                      <w14:textFill>
                        <w14:solidFill>
                          <w14:schemeClr w14:val="tx1"/>
                        </w14:solidFill>
                      </w14:textFill>
                    </w:rPr>
                    <w:t>南侧</w:t>
                  </w:r>
                </w:p>
              </w:tc>
              <w:tc>
                <w:tcPr>
                  <w:tcW w:w="7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rFonts w:hint="default" w:eastAsiaTheme="minorEastAsia"/>
                      <w:color w:val="000000" w:themeColor="text1"/>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6.59</w:t>
                  </w:r>
                </w:p>
              </w:tc>
              <w:tc>
                <w:tcPr>
                  <w:tcW w:w="74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rFonts w:hint="default" w:eastAsiaTheme="minorEastAsia"/>
                      <w:color w:val="000000" w:themeColor="text1"/>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-25.23</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color w:val="000000" w:themeColor="text1"/>
                      <w14:textFill>
                        <w14:solidFill>
                          <w14:schemeClr w14:val="tx1"/>
                        </w14:solidFill>
                      </w14:textFill>
                    </w:rPr>
                  </w:pPr>
                  <w:r>
                    <w:rPr>
                      <w:rFonts w:eastAsia="Arial"/>
                      <w:color w:val="000000" w:themeColor="text1"/>
                      <w:sz w:val="20"/>
                      <w14:textFill>
                        <w14:solidFill>
                          <w14:schemeClr w14:val="tx1"/>
                        </w14:solidFill>
                      </w14:textFill>
                    </w:rPr>
                    <w:t>1.2</w:t>
                  </w: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color w:val="000000" w:themeColor="text1"/>
                      <w14:textFill>
                        <w14:solidFill>
                          <w14:schemeClr w14:val="tx1"/>
                        </w14:solidFill>
                      </w14:textFill>
                    </w:rPr>
                  </w:pPr>
                  <w:r>
                    <w:rPr>
                      <w:color w:val="000000" w:themeColor="text1"/>
                      <w:sz w:val="20"/>
                      <w14:textFill>
                        <w14:solidFill>
                          <w14:schemeClr w14:val="tx1"/>
                        </w14:solidFill>
                      </w14:textFill>
                    </w:rPr>
                    <w:t>昼间</w:t>
                  </w:r>
                </w:p>
              </w:tc>
              <w:tc>
                <w:tcPr>
                  <w:tcW w:w="13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rFonts w:hint="default" w:eastAsiaTheme="minorEastAsia"/>
                      <w:color w:val="000000" w:themeColor="text1"/>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45.18</w:t>
                  </w:r>
                </w:p>
              </w:tc>
              <w:tc>
                <w:tcPr>
                  <w:tcW w:w="13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color w:val="000000" w:themeColor="text1"/>
                      <w14:textFill>
                        <w14:solidFill>
                          <w14:schemeClr w14:val="tx1"/>
                        </w14:solidFill>
                      </w14:textFill>
                    </w:rPr>
                  </w:pPr>
                  <w:r>
                    <w:rPr>
                      <w:rFonts w:eastAsia="Arial"/>
                      <w:color w:val="000000" w:themeColor="text1"/>
                      <w:sz w:val="20"/>
                      <w14:textFill>
                        <w14:solidFill>
                          <w14:schemeClr w14:val="tx1"/>
                        </w14:solidFill>
                      </w14:textFill>
                    </w:rPr>
                    <w:t>60</w:t>
                  </w:r>
                </w:p>
              </w:tc>
              <w:tc>
                <w:tcPr>
                  <w:tcW w:w="11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color w:val="000000" w:themeColor="text1"/>
                      <w14:textFill>
                        <w14:solidFill>
                          <w14:schemeClr w14:val="tx1"/>
                        </w14:solidFill>
                      </w14:textFill>
                    </w:rPr>
                  </w:pPr>
                  <w:r>
                    <w:rPr>
                      <w:color w:val="000000" w:themeColor="text1"/>
                      <w:sz w:val="20"/>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color w:val="000000" w:themeColor="text1"/>
                      <w14:textFill>
                        <w14:solidFill>
                          <w14:schemeClr w14:val="tx1"/>
                        </w14:solidFill>
                      </w14:textFill>
                    </w:rPr>
                  </w:pPr>
                  <w:r>
                    <w:rPr>
                      <w:color w:val="000000" w:themeColor="text1"/>
                      <w:sz w:val="20"/>
                      <w14:textFill>
                        <w14:solidFill>
                          <w14:schemeClr w14:val="tx1"/>
                        </w14:solidFill>
                      </w14:textFill>
                    </w:rPr>
                    <w:t>西侧</w:t>
                  </w:r>
                </w:p>
              </w:tc>
              <w:tc>
                <w:tcPr>
                  <w:tcW w:w="7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rFonts w:hint="default" w:eastAsiaTheme="minorEastAsia"/>
                      <w:color w:val="000000" w:themeColor="text1"/>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-50.58</w:t>
                  </w:r>
                </w:p>
              </w:tc>
              <w:tc>
                <w:tcPr>
                  <w:tcW w:w="74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rFonts w:hint="default" w:eastAsiaTheme="minorEastAsia"/>
                      <w:color w:val="000000" w:themeColor="text1"/>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19.40</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color w:val="000000" w:themeColor="text1"/>
                      <w14:textFill>
                        <w14:solidFill>
                          <w14:schemeClr w14:val="tx1"/>
                        </w14:solidFill>
                      </w14:textFill>
                    </w:rPr>
                  </w:pPr>
                  <w:r>
                    <w:rPr>
                      <w:rFonts w:eastAsia="Arial"/>
                      <w:color w:val="000000" w:themeColor="text1"/>
                      <w:sz w:val="20"/>
                      <w14:textFill>
                        <w14:solidFill>
                          <w14:schemeClr w14:val="tx1"/>
                        </w14:solidFill>
                      </w14:textFill>
                    </w:rPr>
                    <w:t>1.2</w:t>
                  </w: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color w:val="000000" w:themeColor="text1"/>
                      <w14:textFill>
                        <w14:solidFill>
                          <w14:schemeClr w14:val="tx1"/>
                        </w14:solidFill>
                      </w14:textFill>
                    </w:rPr>
                  </w:pPr>
                  <w:r>
                    <w:rPr>
                      <w:color w:val="000000" w:themeColor="text1"/>
                      <w:sz w:val="20"/>
                      <w14:textFill>
                        <w14:solidFill>
                          <w14:schemeClr w14:val="tx1"/>
                        </w14:solidFill>
                      </w14:textFill>
                    </w:rPr>
                    <w:t>昼间</w:t>
                  </w:r>
                </w:p>
              </w:tc>
              <w:tc>
                <w:tcPr>
                  <w:tcW w:w="13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rFonts w:hint="default" w:eastAsiaTheme="minorEastAsia"/>
                      <w:color w:val="000000" w:themeColor="text1"/>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40.36</w:t>
                  </w:r>
                </w:p>
              </w:tc>
              <w:tc>
                <w:tcPr>
                  <w:tcW w:w="13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color w:val="000000" w:themeColor="text1"/>
                      <w14:textFill>
                        <w14:solidFill>
                          <w14:schemeClr w14:val="tx1"/>
                        </w14:solidFill>
                      </w14:textFill>
                    </w:rPr>
                  </w:pPr>
                  <w:r>
                    <w:rPr>
                      <w:rFonts w:eastAsia="Arial"/>
                      <w:color w:val="000000" w:themeColor="text1"/>
                      <w:sz w:val="20"/>
                      <w14:textFill>
                        <w14:solidFill>
                          <w14:schemeClr w14:val="tx1"/>
                        </w14:solidFill>
                      </w14:textFill>
                    </w:rPr>
                    <w:t>60</w:t>
                  </w:r>
                </w:p>
              </w:tc>
              <w:tc>
                <w:tcPr>
                  <w:tcW w:w="11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color w:val="000000" w:themeColor="text1"/>
                      <w14:textFill>
                        <w14:solidFill>
                          <w14:schemeClr w14:val="tx1"/>
                        </w14:solidFill>
                      </w14:textFill>
                    </w:rPr>
                  </w:pPr>
                  <w:r>
                    <w:rPr>
                      <w:color w:val="000000" w:themeColor="text1"/>
                      <w:sz w:val="20"/>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10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color w:val="000000" w:themeColor="text1"/>
                      <w14:textFill>
                        <w14:solidFill>
                          <w14:schemeClr w14:val="tx1"/>
                        </w14:solidFill>
                      </w14:textFill>
                    </w:rPr>
                  </w:pPr>
                  <w:r>
                    <w:rPr>
                      <w:rFonts w:hint="eastAsia"/>
                      <w:color w:val="000000" w:themeColor="text1"/>
                      <w:sz w:val="20"/>
                      <w:lang w:eastAsia="zh-CN"/>
                      <w14:textFill>
                        <w14:solidFill>
                          <w14:schemeClr w14:val="tx1"/>
                        </w14:solidFill>
                      </w14:textFill>
                    </w:rPr>
                    <w:t>东</w:t>
                  </w:r>
                  <w:r>
                    <w:rPr>
                      <w:color w:val="000000" w:themeColor="text1"/>
                      <w:sz w:val="20"/>
                      <w14:textFill>
                        <w14:solidFill>
                          <w14:schemeClr w14:val="tx1"/>
                        </w14:solidFill>
                      </w14:textFill>
                    </w:rPr>
                    <w:t>侧</w:t>
                  </w:r>
                </w:p>
              </w:tc>
              <w:tc>
                <w:tcPr>
                  <w:tcW w:w="74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39.13</w:t>
                  </w:r>
                </w:p>
              </w:tc>
              <w:tc>
                <w:tcPr>
                  <w:tcW w:w="74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rFonts w:hint="default" w:eastAsiaTheme="minorEastAsia"/>
                      <w:color w:val="000000" w:themeColor="text1"/>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9.64</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color w:val="000000" w:themeColor="text1"/>
                      <w14:textFill>
                        <w14:solidFill>
                          <w14:schemeClr w14:val="tx1"/>
                        </w14:solidFill>
                      </w14:textFill>
                    </w:rPr>
                  </w:pPr>
                  <w:r>
                    <w:rPr>
                      <w:rFonts w:eastAsia="Arial"/>
                      <w:color w:val="000000" w:themeColor="text1"/>
                      <w:sz w:val="20"/>
                      <w14:textFill>
                        <w14:solidFill>
                          <w14:schemeClr w14:val="tx1"/>
                        </w14:solidFill>
                      </w14:textFill>
                    </w:rPr>
                    <w:t>1.2</w:t>
                  </w:r>
                </w:p>
              </w:tc>
              <w:tc>
                <w:tcPr>
                  <w:tcW w:w="9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color w:val="000000" w:themeColor="text1"/>
                      <w14:textFill>
                        <w14:solidFill>
                          <w14:schemeClr w14:val="tx1"/>
                        </w14:solidFill>
                      </w14:textFill>
                    </w:rPr>
                  </w:pPr>
                  <w:r>
                    <w:rPr>
                      <w:color w:val="000000" w:themeColor="text1"/>
                      <w:sz w:val="20"/>
                      <w14:textFill>
                        <w14:solidFill>
                          <w14:schemeClr w14:val="tx1"/>
                        </w14:solidFill>
                      </w14:textFill>
                    </w:rPr>
                    <w:t>昼间</w:t>
                  </w:r>
                </w:p>
              </w:tc>
              <w:tc>
                <w:tcPr>
                  <w:tcW w:w="13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rFonts w:hint="default" w:eastAsiaTheme="minorEastAsia"/>
                      <w:color w:val="000000" w:themeColor="text1"/>
                      <w:lang w:val="en-US" w:eastAsia="zh-CN"/>
                      <w14:textFill>
                        <w14:solidFill>
                          <w14:schemeClr w14:val="tx1"/>
                        </w14:solidFill>
                      </w14:textFill>
                    </w:rPr>
                  </w:pPr>
                  <w:r>
                    <w:rPr>
                      <w:rFonts w:hint="eastAsia" w:eastAsia="宋体"/>
                      <w:color w:val="000000" w:themeColor="text1"/>
                      <w:sz w:val="20"/>
                      <w:lang w:val="en-US" w:eastAsia="zh-CN"/>
                      <w14:textFill>
                        <w14:solidFill>
                          <w14:schemeClr w14:val="tx1"/>
                        </w14:solidFill>
                      </w14:textFill>
                    </w:rPr>
                    <w:t>50.04</w:t>
                  </w:r>
                </w:p>
              </w:tc>
              <w:tc>
                <w:tcPr>
                  <w:tcW w:w="13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70</w:t>
                  </w:r>
                </w:p>
              </w:tc>
              <w:tc>
                <w:tcPr>
                  <w:tcW w:w="11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rPr>
                      <w:color w:val="000000" w:themeColor="text1"/>
                      <w14:textFill>
                        <w14:solidFill>
                          <w14:schemeClr w14:val="tx1"/>
                        </w14:solidFill>
                      </w14:textFill>
                    </w:rPr>
                  </w:pPr>
                  <w:r>
                    <w:rPr>
                      <w:color w:val="000000" w:themeColor="text1"/>
                      <w:sz w:val="20"/>
                      <w14:textFill>
                        <w14:solidFill>
                          <w14:schemeClr w14:val="tx1"/>
                        </w14:solidFill>
                      </w14:textFill>
                    </w:rPr>
                    <w:t>达标</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空间相对位置指</w:t>
            </w:r>
            <w:r>
              <w:rPr>
                <w:rFonts w:hint="default" w:ascii="Times New Roman" w:hAnsi="Times New Roman" w:eastAsia="宋体" w:cs="Times New Roman"/>
                <w:color w:val="000000" w:themeColor="text1"/>
                <w:sz w:val="24"/>
                <w:szCs w:val="24"/>
                <w14:textFill>
                  <w14:solidFill>
                    <w14:schemeClr w14:val="tx1"/>
                  </w14:solidFill>
                </w14:textFill>
              </w:rPr>
              <w:t>以厂界中心（</w:t>
            </w:r>
            <w:r>
              <w:rPr>
                <w:rFonts w:hint="eastAsia"/>
                <w:lang w:val="en-US" w:eastAsia="zh-CN"/>
              </w:rPr>
              <w:t>100.00199607,26.29066764</w:t>
            </w:r>
            <w:r>
              <w:rPr>
                <w:rFonts w:hint="default" w:ascii="Times New Roman" w:hAnsi="Times New Roman" w:eastAsia="宋体" w:cs="Times New Roman"/>
                <w:color w:val="000000" w:themeColor="text1"/>
                <w:sz w:val="24"/>
                <w:szCs w:val="24"/>
                <w14:textFill>
                  <w14:solidFill>
                    <w14:schemeClr w14:val="tx1"/>
                  </w14:solidFill>
                </w14:textFill>
              </w:rPr>
              <w:t>）为坐标原点，正东向为X轴正方向，正北向为Y轴正方向。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本项目夜间不生产，根据上表可知，项目区厂界昼间噪声值均能达到《工业企业厂界噪声排放标准》（GB12348-2008）</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14:textFill>
                  <w14:solidFill>
                    <w14:schemeClr w14:val="tx1"/>
                  </w14:solidFill>
                </w14:textFill>
              </w:rPr>
              <w:t>类标准限值要求，由于项目夜间不生产，所以不对夜间噪声进行贡献值计算。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themeColor="text1"/>
                <w:sz w:val="24"/>
                <w:szCs w:val="24"/>
                <w14:textFill>
                  <w14:solidFill>
                    <w14:schemeClr w14:val="tx1"/>
                  </w14:solidFill>
                </w14:textFill>
              </w:rPr>
              <w:t>项目正常工况声环境影响预测等值线见图4-1所示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auto"/>
                <w:sz w:val="24"/>
                <w:szCs w:val="24"/>
                <w:lang w:val="en-US" w:eastAsia="zh-CN"/>
              </w:rPr>
            </w:pPr>
            <w:r>
              <w:drawing>
                <wp:inline distT="0" distB="0" distL="114300" distR="114300">
                  <wp:extent cx="5035550" cy="3642360"/>
                  <wp:effectExtent l="0" t="0" r="12700" b="15240"/>
                  <wp:docPr id="2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1"/>
                          <pic:cNvPicPr>
                            <a:picLocks noChangeAspect="1"/>
                          </pic:cNvPicPr>
                        </pic:nvPicPr>
                        <pic:blipFill>
                          <a:blip r:embed="rId8"/>
                          <a:stretch>
                            <a:fillRect/>
                          </a:stretch>
                        </pic:blipFill>
                        <pic:spPr>
                          <a:xfrm>
                            <a:off x="0" y="0"/>
                            <a:ext cx="5035550" cy="36423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经现场踏勘，距离项目最近居民点为西</w:t>
            </w:r>
            <w:r>
              <w:rPr>
                <w:rFonts w:hint="eastAsia" w:ascii="Times New Roman" w:hAnsi="Times New Roman" w:eastAsia="宋体" w:cs="Times New Roman"/>
                <w:color w:val="auto"/>
                <w:sz w:val="24"/>
                <w:szCs w:val="24"/>
                <w:lang w:val="en-US" w:eastAsia="zh-CN"/>
              </w:rPr>
              <w:t>北</w:t>
            </w:r>
            <w:r>
              <w:rPr>
                <w:rFonts w:hint="default" w:ascii="Times New Roman" w:hAnsi="Times New Roman" w:eastAsia="宋体" w:cs="Times New Roman"/>
                <w:color w:val="auto"/>
                <w:sz w:val="24"/>
                <w:szCs w:val="24"/>
                <w:lang w:val="en-US" w:eastAsia="zh-CN"/>
              </w:rPr>
              <w:t>侧居民，</w:t>
            </w:r>
            <w:r>
              <w:rPr>
                <w:rFonts w:hint="eastAsia" w:ascii="Times New Roman" w:hAnsi="Times New Roman" w:eastAsia="宋体" w:cs="Times New Roman"/>
                <w:color w:val="auto"/>
                <w:sz w:val="24"/>
                <w:szCs w:val="24"/>
                <w:lang w:val="en-US" w:eastAsia="zh-CN"/>
              </w:rPr>
              <w:t>西北侧</w:t>
            </w:r>
            <w:r>
              <w:rPr>
                <w:rFonts w:hint="default" w:ascii="Times New Roman" w:hAnsi="Times New Roman" w:eastAsia="宋体" w:cs="Times New Roman"/>
                <w:color w:val="auto"/>
                <w:sz w:val="24"/>
                <w:szCs w:val="24"/>
                <w:lang w:val="en-US" w:eastAsia="zh-CN"/>
              </w:rPr>
              <w:t>最近居民点距离项目厂界</w:t>
            </w:r>
            <w:r>
              <w:rPr>
                <w:rFonts w:hint="eastAsia" w:ascii="Times New Roman" w:hAnsi="Times New Roman" w:eastAsia="宋体" w:cs="Times New Roman"/>
                <w:color w:val="auto"/>
                <w:sz w:val="24"/>
                <w:szCs w:val="24"/>
                <w:lang w:val="en-US" w:eastAsia="zh-CN"/>
              </w:rPr>
              <w:t>68</w:t>
            </w:r>
            <w:r>
              <w:rPr>
                <w:rFonts w:hint="default"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lang w:val="en-US" w:eastAsia="zh-CN"/>
              </w:rPr>
              <w:t>经对项目最近敏感点西北侧居民点进行预测，见下表；</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表4-</w:t>
            </w:r>
            <w:r>
              <w:rPr>
                <w:rFonts w:hint="eastAsia" w:ascii="Times New Roman" w:hAnsi="Times New Roman" w:eastAsia="宋体" w:cs="Times New Roman"/>
                <w:b/>
                <w:bCs/>
                <w:color w:val="auto"/>
                <w:sz w:val="21"/>
                <w:szCs w:val="21"/>
                <w:lang w:val="en-US" w:eastAsia="zh-CN"/>
              </w:rPr>
              <w:t>18</w:t>
            </w:r>
            <w:r>
              <w:rPr>
                <w:rFonts w:hint="default" w:ascii="Times New Roman" w:hAnsi="Times New Roman" w:eastAsia="宋体" w:cs="Times New Roman"/>
                <w:b/>
                <w:bCs/>
                <w:color w:val="auto"/>
                <w:sz w:val="21"/>
                <w:szCs w:val="21"/>
                <w:lang w:val="en-US" w:eastAsia="zh-CN"/>
              </w:rPr>
              <w:t xml:space="preserve">  敏感点</w:t>
            </w:r>
            <w:r>
              <w:rPr>
                <w:rFonts w:hint="eastAsia" w:ascii="Times New Roman" w:hAnsi="Times New Roman" w:eastAsia="宋体" w:cs="Times New Roman"/>
                <w:b/>
                <w:bCs/>
                <w:color w:val="auto"/>
                <w:sz w:val="21"/>
                <w:szCs w:val="21"/>
                <w:lang w:val="en-US" w:eastAsia="zh-CN"/>
              </w:rPr>
              <w:t>现状噪声</w:t>
            </w:r>
            <w:r>
              <w:rPr>
                <w:rFonts w:hint="default" w:ascii="Times New Roman" w:hAnsi="Times New Roman" w:eastAsia="宋体" w:cs="Times New Roman"/>
                <w:b/>
                <w:bCs/>
                <w:color w:val="auto"/>
                <w:sz w:val="21"/>
                <w:szCs w:val="21"/>
                <w:lang w:val="en-US" w:eastAsia="zh-CN"/>
              </w:rPr>
              <w:t>结果表  单位：dB（A）</w:t>
            </w:r>
          </w:p>
          <w:tbl>
            <w:tblPr>
              <w:tblStyle w:val="7"/>
              <w:tblW w:w="7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1798"/>
              <w:gridCol w:w="1982"/>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2"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敏感点</w:t>
                  </w:r>
                </w:p>
              </w:tc>
              <w:tc>
                <w:tcPr>
                  <w:tcW w:w="1798"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昼间噪声值</w:t>
                  </w:r>
                </w:p>
              </w:tc>
              <w:tc>
                <w:tcPr>
                  <w:tcW w:w="1982"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标准限值</w:t>
                  </w:r>
                </w:p>
              </w:tc>
              <w:tc>
                <w:tcPr>
                  <w:tcW w:w="1982"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2"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项目区</w:t>
                  </w:r>
                  <w:r>
                    <w:rPr>
                      <w:rFonts w:hint="eastAsia" w:ascii="Times New Roman" w:hAnsi="Times New Roman" w:eastAsia="宋体" w:cs="Times New Roman"/>
                      <w:color w:val="auto"/>
                      <w:sz w:val="21"/>
                      <w:szCs w:val="21"/>
                      <w:vertAlign w:val="baseline"/>
                      <w:lang w:val="en-US" w:eastAsia="zh-CN"/>
                    </w:rPr>
                    <w:t>西</w:t>
                  </w:r>
                  <w:r>
                    <w:rPr>
                      <w:rFonts w:hint="default" w:ascii="Times New Roman" w:hAnsi="Times New Roman" w:eastAsia="宋体" w:cs="Times New Roman"/>
                      <w:color w:val="auto"/>
                      <w:sz w:val="21"/>
                      <w:szCs w:val="21"/>
                      <w:vertAlign w:val="baseline"/>
                      <w:lang w:val="en-US" w:eastAsia="zh-CN"/>
                    </w:rPr>
                    <w:t>北侧居民点</w:t>
                  </w:r>
                </w:p>
              </w:tc>
              <w:tc>
                <w:tcPr>
                  <w:tcW w:w="179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33.47</w:t>
                  </w:r>
                </w:p>
              </w:tc>
              <w:tc>
                <w:tcPr>
                  <w:tcW w:w="1982"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60</w:t>
                  </w:r>
                </w:p>
              </w:tc>
              <w:tc>
                <w:tcPr>
                  <w:tcW w:w="1982" w:type="dxa"/>
                  <w:vAlign w:val="center"/>
                </w:tcPr>
                <w:p>
                  <w:pPr>
                    <w:bidi w:val="0"/>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达标</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经上预测可知，居民点声环境较好。且根据预测，项目厂界西侧、北侧均能满足《工业企业厂界环境噪声排放标准》（GB12348-2008）2类标准要求，项目距离该居民点较远，经距离衰减、绿化吸附后，基本对居民点无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④噪声监测计划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根据《排污许可证申请与核发技术规范 总则》（HJ942-2018）、《排污单位自行监测技术指南 总则》（HJ819-2017），本项目厂界环境噪声监测计划见下表；</w:t>
            </w:r>
          </w:p>
          <w:p>
            <w:pPr>
              <w:bidi w:val="0"/>
              <w:jc w:val="center"/>
              <w:rPr>
                <w:rFonts w:hint="default"/>
                <w:b/>
                <w:bCs/>
                <w:color w:val="auto"/>
                <w:lang w:val="en-US" w:eastAsia="zh-CN"/>
              </w:rPr>
            </w:pPr>
            <w:r>
              <w:rPr>
                <w:rFonts w:hint="default"/>
                <w:b/>
                <w:bCs/>
                <w:color w:val="auto"/>
                <w:lang w:val="en-US" w:eastAsia="zh-CN"/>
              </w:rPr>
              <w:t>表</w:t>
            </w:r>
            <w:r>
              <w:rPr>
                <w:rFonts w:hint="eastAsia"/>
                <w:b/>
                <w:bCs/>
                <w:color w:val="auto"/>
                <w:lang w:val="en-US" w:eastAsia="zh-CN"/>
              </w:rPr>
              <w:t>4-19</w:t>
            </w:r>
            <w:r>
              <w:rPr>
                <w:rFonts w:hint="default"/>
                <w:b/>
                <w:bCs/>
                <w:color w:val="auto"/>
                <w:lang w:val="en-US" w:eastAsia="zh-CN"/>
              </w:rPr>
              <w:t xml:space="preserve">   建设项目噪声监测计划</w:t>
            </w:r>
          </w:p>
          <w:tbl>
            <w:tblPr>
              <w:tblStyle w:val="7"/>
              <w:tblW w:w="7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459"/>
              <w:gridCol w:w="1227"/>
              <w:gridCol w:w="3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bidi w:val="0"/>
                    <w:jc w:val="center"/>
                    <w:rPr>
                      <w:rFonts w:hint="default"/>
                      <w:b/>
                      <w:bCs/>
                      <w:color w:val="auto"/>
                      <w:lang w:val="en-US" w:eastAsia="zh-CN"/>
                    </w:rPr>
                  </w:pPr>
                  <w:r>
                    <w:rPr>
                      <w:rFonts w:hint="default"/>
                      <w:b/>
                      <w:bCs/>
                      <w:color w:val="auto"/>
                      <w:lang w:val="en-US" w:eastAsia="zh-CN"/>
                    </w:rPr>
                    <w:t>监测点位</w:t>
                  </w:r>
                </w:p>
              </w:tc>
              <w:tc>
                <w:tcPr>
                  <w:tcW w:w="1459" w:type="dxa"/>
                  <w:vAlign w:val="center"/>
                </w:tcPr>
                <w:p>
                  <w:pPr>
                    <w:bidi w:val="0"/>
                    <w:jc w:val="center"/>
                    <w:rPr>
                      <w:rFonts w:hint="default"/>
                      <w:b/>
                      <w:bCs/>
                      <w:color w:val="auto"/>
                      <w:lang w:val="en-US" w:eastAsia="zh-CN"/>
                    </w:rPr>
                  </w:pPr>
                  <w:r>
                    <w:rPr>
                      <w:rFonts w:hint="default"/>
                      <w:b/>
                      <w:bCs/>
                      <w:color w:val="auto"/>
                      <w:lang w:val="en-US" w:eastAsia="zh-CN"/>
                    </w:rPr>
                    <w:t>监测指标</w:t>
                  </w:r>
                </w:p>
              </w:tc>
              <w:tc>
                <w:tcPr>
                  <w:tcW w:w="1227" w:type="dxa"/>
                  <w:vAlign w:val="center"/>
                </w:tcPr>
                <w:p>
                  <w:pPr>
                    <w:bidi w:val="0"/>
                    <w:jc w:val="center"/>
                    <w:rPr>
                      <w:rFonts w:hint="default"/>
                      <w:b/>
                      <w:bCs/>
                      <w:color w:val="auto"/>
                      <w:lang w:val="en-US" w:eastAsia="zh-CN"/>
                    </w:rPr>
                  </w:pPr>
                  <w:r>
                    <w:rPr>
                      <w:rFonts w:hint="default"/>
                      <w:b/>
                      <w:bCs/>
                      <w:color w:val="auto"/>
                      <w:lang w:val="en-US" w:eastAsia="zh-CN"/>
                    </w:rPr>
                    <w:t>监测频次</w:t>
                  </w:r>
                </w:p>
              </w:tc>
              <w:tc>
                <w:tcPr>
                  <w:tcW w:w="3485" w:type="dxa"/>
                  <w:vAlign w:val="center"/>
                </w:tcPr>
                <w:p>
                  <w:pPr>
                    <w:bidi w:val="0"/>
                    <w:jc w:val="center"/>
                    <w:rPr>
                      <w:rFonts w:hint="default"/>
                      <w:b/>
                      <w:bCs/>
                      <w:color w:val="auto"/>
                      <w:lang w:val="en-US" w:eastAsia="zh-CN"/>
                    </w:rPr>
                  </w:pPr>
                  <w:r>
                    <w:rPr>
                      <w:rFonts w:hint="default"/>
                      <w:b/>
                      <w:bCs/>
                      <w:color w:val="auto"/>
                      <w:lang w:val="en-US" w:eastAsia="zh-CN"/>
                    </w:rPr>
                    <w:t>执行污染物排放标准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0" w:type="dxa"/>
                  <w:vAlign w:val="center"/>
                </w:tcPr>
                <w:p>
                  <w:pPr>
                    <w:bidi w:val="0"/>
                    <w:jc w:val="center"/>
                    <w:rPr>
                      <w:rFonts w:hint="default"/>
                      <w:color w:val="auto"/>
                      <w:lang w:val="en-US" w:eastAsia="zh-CN"/>
                    </w:rPr>
                  </w:pPr>
                  <w:r>
                    <w:rPr>
                      <w:rFonts w:hint="default"/>
                      <w:color w:val="auto"/>
                      <w:lang w:val="en-US" w:eastAsia="zh-CN"/>
                    </w:rPr>
                    <w:t>项目厂界四周</w:t>
                  </w:r>
                </w:p>
              </w:tc>
              <w:tc>
                <w:tcPr>
                  <w:tcW w:w="1459" w:type="dxa"/>
                  <w:vAlign w:val="center"/>
                </w:tcPr>
                <w:p>
                  <w:pPr>
                    <w:bidi w:val="0"/>
                    <w:jc w:val="center"/>
                    <w:rPr>
                      <w:rFonts w:hint="default"/>
                      <w:color w:val="auto"/>
                      <w:lang w:val="en-US" w:eastAsia="zh-CN"/>
                    </w:rPr>
                  </w:pPr>
                  <w:r>
                    <w:rPr>
                      <w:rFonts w:hint="default"/>
                      <w:color w:val="auto"/>
                      <w:lang w:val="en-US" w:eastAsia="zh-CN"/>
                    </w:rPr>
                    <w:t>厂界噪声</w:t>
                  </w:r>
                </w:p>
              </w:tc>
              <w:tc>
                <w:tcPr>
                  <w:tcW w:w="1227" w:type="dxa"/>
                  <w:vAlign w:val="center"/>
                </w:tcPr>
                <w:p>
                  <w:pPr>
                    <w:bidi w:val="0"/>
                    <w:jc w:val="center"/>
                    <w:rPr>
                      <w:rFonts w:hint="default"/>
                      <w:color w:val="auto"/>
                      <w:lang w:val="en-US" w:eastAsia="zh-CN"/>
                    </w:rPr>
                  </w:pPr>
                  <w:r>
                    <w:rPr>
                      <w:rFonts w:hint="default"/>
                      <w:color w:val="auto"/>
                      <w:lang w:val="en-US" w:eastAsia="zh-CN"/>
                    </w:rPr>
                    <w:t>1次/年</w:t>
                  </w:r>
                </w:p>
              </w:tc>
              <w:tc>
                <w:tcPr>
                  <w:tcW w:w="3485" w:type="dxa"/>
                  <w:vAlign w:val="center"/>
                </w:tcPr>
                <w:p>
                  <w:pPr>
                    <w:bidi w:val="0"/>
                    <w:jc w:val="center"/>
                    <w:rPr>
                      <w:rFonts w:hint="default"/>
                      <w:color w:val="auto"/>
                      <w:lang w:val="en-US" w:eastAsia="zh-CN"/>
                    </w:rPr>
                  </w:pPr>
                  <w:r>
                    <w:rPr>
                      <w:rFonts w:hint="default"/>
                      <w:color w:val="auto"/>
                      <w:lang w:val="en-US" w:eastAsia="zh-CN"/>
                    </w:rPr>
                    <w:t>《工业企业厂界环境噪声排放标准》（GB12348-2008）中2类</w:t>
                  </w:r>
                  <w:r>
                    <w:rPr>
                      <w:rFonts w:hint="eastAsia"/>
                      <w:color w:val="auto"/>
                      <w:lang w:val="en-US" w:eastAsia="zh-CN"/>
                    </w:rPr>
                    <w:t>、4类</w:t>
                  </w:r>
                  <w:r>
                    <w:rPr>
                      <w:rFonts w:hint="default"/>
                      <w:color w:val="auto"/>
                      <w:lang w:val="en-US" w:eastAsia="zh-CN"/>
                    </w:rPr>
                    <w:t>标准</w:t>
                  </w:r>
                </w:p>
              </w:tc>
            </w:tr>
          </w:tbl>
          <w:p>
            <w:pPr>
              <w:bidi w:val="0"/>
              <w:rPr>
                <w:rFonts w:hint="default"/>
                <w:color w:val="auto"/>
                <w:lang w:val="en-US" w:eastAsia="zh-CN"/>
              </w:rPr>
            </w:pP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土壤及地下水影响分析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根据《环境影响评价技术导则 地下水环境》（HJ610-2016）附录A，本项目属于：“热力生产和供应工程”编制报告表的其他类项目，属于地下水环境影响评价项目类别为Ⅳ类的建设项目。根据《环境影响评价技术导则-土壤环境》（HJ964-2018）附录A，本项目为其他行业，属于Ⅳ类建设项目。Ⅳ类项目可不开展土壤及地下水环境影响评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生态环境影响分析</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项目运营期锅炉废气排放的烟尘附着在周围植被叶片上，阻碍植被的光合作用，影响植被生长。建设单位需加强废气治理，定期进行</w:t>
            </w:r>
            <w:r>
              <w:rPr>
                <w:rFonts w:hint="eastAsia" w:ascii="Times New Roman" w:hAnsi="Times New Roman" w:eastAsia="宋体" w:cs="Times New Roman"/>
                <w:color w:val="auto"/>
                <w:sz w:val="24"/>
                <w:szCs w:val="24"/>
                <w:lang w:val="en-US" w:eastAsia="zh-CN"/>
              </w:rPr>
              <w:t>水膜</w:t>
            </w:r>
            <w:r>
              <w:rPr>
                <w:rFonts w:hint="default" w:ascii="Times New Roman" w:hAnsi="Times New Roman" w:eastAsia="宋体" w:cs="Times New Roman"/>
                <w:color w:val="auto"/>
                <w:sz w:val="24"/>
                <w:szCs w:val="24"/>
                <w:lang w:val="en-US" w:eastAsia="zh-CN"/>
              </w:rPr>
              <w:t>除尘设备维护，防止在大风天气造成二次扬尘污染，减少无组织粉尘，减少粉尘对周边动植物的影响。</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项目运营期于人工</w:t>
            </w:r>
            <w:r>
              <w:rPr>
                <w:rFonts w:hint="eastAsia" w:ascii="Times New Roman" w:hAnsi="Times New Roman" w:eastAsia="宋体" w:cs="Times New Roman"/>
                <w:color w:val="auto"/>
                <w:sz w:val="24"/>
                <w:szCs w:val="24"/>
                <w:lang w:val="en-US" w:eastAsia="zh-CN"/>
              </w:rPr>
              <w:t>建设</w:t>
            </w:r>
            <w:r>
              <w:rPr>
                <w:rFonts w:hint="default" w:ascii="Times New Roman" w:hAnsi="Times New Roman" w:eastAsia="宋体" w:cs="Times New Roman"/>
                <w:color w:val="auto"/>
                <w:sz w:val="24"/>
                <w:szCs w:val="24"/>
                <w:lang w:val="en-US" w:eastAsia="zh-CN"/>
              </w:rPr>
              <w:t>区域，人为活动频繁，区域内受人类影响活动较大，原生植被较少。项目运营期严格执行环评提出的各项环保措施，对周边区域动植物影响较小。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经现场踏勘，项目区域及周边范围内未发现国家和地方重点保护及珍稀濒危动、植物，亦未发现各级政府发文保护的古树名木等。项目区域内无珍稀濒危动植物，生物结构相对简单。本项目通过采取相应措施，对区域生态环境不会造成较大影响。</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环境风险分析及防范措施</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环境风险识别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项目从事布草洗涤服务，洗涤服务对象包含床单、被罩枕套及毛巾浴巾</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等，存在遇明火可燃的特征，</w:t>
            </w:r>
            <w:r>
              <w:rPr>
                <w:rFonts w:hint="eastAsia" w:ascii="Times New Roman" w:hAnsi="Times New Roman" w:eastAsia="宋体" w:cs="Times New Roman"/>
                <w:color w:val="auto"/>
                <w:sz w:val="24"/>
                <w:szCs w:val="24"/>
                <w:lang w:val="en-US" w:eastAsia="zh-CN"/>
              </w:rPr>
              <w:t>化粪池构筑物破损</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生产废水及生活污水泄漏、水膜除尘器故障废气超标排放</w:t>
            </w:r>
            <w:r>
              <w:rPr>
                <w:rFonts w:hint="default" w:ascii="Times New Roman" w:hAnsi="Times New Roman" w:eastAsia="宋体" w:cs="Times New Roman"/>
                <w:color w:val="auto"/>
                <w:sz w:val="24"/>
                <w:szCs w:val="24"/>
                <w:lang w:val="en-US" w:eastAsia="zh-CN"/>
              </w:rPr>
              <w:t>造成周围环境的污染。通过危险特性分析，物质风险识别、生产过程潜在危险识别、贮存设施危险性识别，确定本项目最大可信度事故为发生火灾事故</w:t>
            </w:r>
            <w:r>
              <w:rPr>
                <w:rFonts w:hint="eastAsia" w:ascii="Times New Roman" w:hAnsi="Times New Roman" w:eastAsia="宋体" w:cs="Times New Roman"/>
                <w:color w:val="auto"/>
                <w:sz w:val="24"/>
                <w:szCs w:val="24"/>
                <w:lang w:val="en-US" w:eastAsia="zh-CN"/>
              </w:rPr>
              <w:t>、水膜除尘器故障废气超标排放</w:t>
            </w:r>
            <w:r>
              <w:rPr>
                <w:rFonts w:hint="default" w:ascii="Times New Roman" w:hAnsi="Times New Roman" w:eastAsia="宋体" w:cs="Times New Roman"/>
                <w:color w:val="auto"/>
                <w:sz w:val="24"/>
                <w:szCs w:val="24"/>
                <w:lang w:val="en-US" w:eastAsia="zh-CN"/>
              </w:rPr>
              <w:t>及</w:t>
            </w:r>
            <w:r>
              <w:rPr>
                <w:rFonts w:hint="eastAsia" w:ascii="Times New Roman" w:hAnsi="Times New Roman" w:eastAsia="宋体" w:cs="Times New Roman"/>
                <w:color w:val="auto"/>
                <w:sz w:val="24"/>
                <w:szCs w:val="24"/>
                <w:lang w:val="en-US" w:eastAsia="zh-CN"/>
              </w:rPr>
              <w:t>化粪池破损废水</w:t>
            </w:r>
            <w:r>
              <w:rPr>
                <w:rFonts w:hint="default" w:ascii="Times New Roman" w:hAnsi="Times New Roman" w:eastAsia="宋体" w:cs="Times New Roman"/>
                <w:color w:val="auto"/>
                <w:sz w:val="24"/>
                <w:szCs w:val="24"/>
                <w:lang w:val="en-US" w:eastAsia="zh-CN"/>
              </w:rPr>
              <w:t>泄漏。其事故对环境的危害主要表现为造成环境污染、人员伤亡和财产损失等。</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环境风险分析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本次评价的最大可信事故为：</w:t>
            </w:r>
            <w:r>
              <w:rPr>
                <w:rFonts w:hint="eastAsia" w:ascii="Times New Roman" w:hAnsi="Times New Roman" w:eastAsia="宋体" w:cs="Times New Roman"/>
                <w:color w:val="auto"/>
                <w:sz w:val="24"/>
                <w:szCs w:val="24"/>
                <w:lang w:val="en-US" w:eastAsia="zh-CN"/>
              </w:rPr>
              <w:t>水膜除尘器故障废气超标排放、化粪池破损废水</w:t>
            </w:r>
            <w:r>
              <w:rPr>
                <w:rFonts w:hint="default" w:ascii="Times New Roman" w:hAnsi="Times New Roman" w:eastAsia="宋体" w:cs="Times New Roman"/>
                <w:color w:val="auto"/>
                <w:sz w:val="24"/>
                <w:szCs w:val="24"/>
                <w:lang w:val="en-US" w:eastAsia="zh-CN"/>
              </w:rPr>
              <w:t>泄漏及床单、被罩枕套及毛巾浴巾</w:t>
            </w:r>
            <w:r>
              <w:rPr>
                <w:rFonts w:hint="eastAsia" w:ascii="Times New Roman" w:hAnsi="Times New Roman" w:eastAsia="宋体" w:cs="Times New Roman"/>
                <w:color w:val="auto"/>
                <w:sz w:val="24"/>
                <w:szCs w:val="24"/>
                <w:lang w:val="en-US" w:eastAsia="zh-CN"/>
              </w:rPr>
              <w:t>、生物质堆料区</w:t>
            </w:r>
            <w:r>
              <w:rPr>
                <w:rFonts w:hint="default" w:ascii="Times New Roman" w:hAnsi="Times New Roman" w:eastAsia="宋体" w:cs="Times New Roman"/>
                <w:color w:val="auto"/>
                <w:sz w:val="24"/>
                <w:szCs w:val="24"/>
                <w:lang w:val="en-US" w:eastAsia="zh-CN"/>
              </w:rPr>
              <w:t>燃烧引起火灾造成二次污染风险。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①泄漏事故影响分析本项目若管理操作不当或意外事故，</w:t>
            </w:r>
            <w:r>
              <w:rPr>
                <w:rFonts w:hint="eastAsia" w:ascii="Times New Roman" w:hAnsi="Times New Roman" w:eastAsia="宋体" w:cs="Times New Roman"/>
                <w:color w:val="auto"/>
                <w:sz w:val="24"/>
                <w:szCs w:val="24"/>
                <w:lang w:val="en-US" w:eastAsia="zh-CN"/>
              </w:rPr>
              <w:t>化粪池破损</w:t>
            </w:r>
            <w:r>
              <w:rPr>
                <w:rFonts w:hint="default" w:ascii="Times New Roman" w:hAnsi="Times New Roman" w:eastAsia="宋体" w:cs="Times New Roman"/>
                <w:color w:val="auto"/>
                <w:sz w:val="24"/>
                <w:szCs w:val="24"/>
                <w:lang w:val="en-US" w:eastAsia="zh-CN"/>
              </w:rPr>
              <w:t>泄漏</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泄漏部分会随着地面漫流进入地表水体，从而造成地表水体污染。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lang w:val="en-US" w:eastAsia="zh-CN"/>
              </w:rPr>
            </w:pPr>
            <w:r>
              <w:rPr>
                <w:rFonts w:hint="default" w:ascii="Times New Roman" w:hAnsi="Times New Roman" w:eastAsia="宋体" w:cs="Times New Roman"/>
                <w:color w:val="auto"/>
                <w:sz w:val="24"/>
                <w:szCs w:val="24"/>
                <w:lang w:val="en-US" w:eastAsia="zh-CN"/>
              </w:rPr>
              <w:t>②废气超标排放事故影响分析，一旦发生</w:t>
            </w:r>
            <w:r>
              <w:rPr>
                <w:rFonts w:hint="eastAsia" w:ascii="Times New Roman" w:hAnsi="Times New Roman" w:eastAsia="宋体" w:cs="Times New Roman"/>
                <w:color w:val="auto"/>
                <w:sz w:val="24"/>
                <w:szCs w:val="24"/>
                <w:lang w:val="en-US" w:eastAsia="zh-CN"/>
              </w:rPr>
              <w:t>水膜</w:t>
            </w:r>
            <w:r>
              <w:rPr>
                <w:rFonts w:hint="default" w:ascii="Times New Roman" w:hAnsi="Times New Roman" w:eastAsia="宋体" w:cs="Times New Roman"/>
                <w:color w:val="auto"/>
                <w:sz w:val="24"/>
                <w:szCs w:val="24"/>
                <w:lang w:val="en-US" w:eastAsia="zh-CN"/>
              </w:rPr>
              <w:t>除尘器故障，燃烧废气将扩散至环境空气中，造成环境空气的污染。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③</w:t>
            </w:r>
            <w:r>
              <w:rPr>
                <w:rFonts w:hint="default" w:ascii="Times New Roman" w:hAnsi="Times New Roman" w:eastAsia="宋体" w:cs="Times New Roman"/>
                <w:color w:val="auto"/>
                <w:sz w:val="24"/>
                <w:szCs w:val="24"/>
                <w:lang w:val="en-US" w:eastAsia="zh-CN"/>
              </w:rPr>
              <w:t>火灾事故影响分析，一旦发生火灾事故，有毒有害气体可通过热辐射、烟雾及冲击波等形式扩散至空气中，泄漏液体和消防水将进入排水系统以及渗透到土壤中，会造成财产损失和人员伤亡，以及水环境、土壤环境的污染。</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环境风险防范措施及应急要求</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火灾风险防范措施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①加强电气防火安全管理，消除火灾隐患，不得超负荷用电，不得擅自拉接临时电线。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定期对操作人员进行安全生产与安全知识培训，并制定严格的安全操作规程，切实加强生产过程中的温度控制，保证劳动安全，防止意外事故的发生。应加强消防设施及消防教育建设，对厂区等重要场所需要重点防范，制定严格的操作规范，避免火灾等事故发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③火灾发生时，先把总电源关掉，按响警铃以警示车间内其他人员，同时联络消防队，利用灭火器尽量灭火，如果无效，应马上离开现场到安全地点集合，在离开时要确保所有人都已离开车间，再把门窗关上。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④为了减轻万一发生火灾事故造成的损失，工厂还应制定火灾应急预案，并报上级主管部门备案，并定期演练。</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泄漏防范措施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运营期除定期检查</w:t>
            </w:r>
            <w:r>
              <w:rPr>
                <w:rFonts w:hint="eastAsia" w:ascii="Times New Roman" w:hAnsi="Times New Roman" w:eastAsia="宋体" w:cs="Times New Roman"/>
                <w:color w:val="auto"/>
                <w:sz w:val="24"/>
                <w:szCs w:val="24"/>
                <w:lang w:val="en-US" w:eastAsia="zh-CN"/>
              </w:rPr>
              <w:t>化粪池是否完好，是否会发生泄漏外，</w:t>
            </w:r>
            <w:r>
              <w:rPr>
                <w:rFonts w:hint="default" w:ascii="Times New Roman" w:hAnsi="Times New Roman" w:eastAsia="宋体" w:cs="Times New Roman"/>
                <w:color w:val="auto"/>
                <w:sz w:val="24"/>
                <w:szCs w:val="24"/>
                <w:lang w:val="en-US" w:eastAsia="zh-CN"/>
              </w:rPr>
              <w:t>还应对</w:t>
            </w:r>
            <w:r>
              <w:rPr>
                <w:rFonts w:hint="eastAsia" w:ascii="Times New Roman" w:hAnsi="Times New Roman" w:eastAsia="宋体" w:cs="Times New Roman"/>
                <w:color w:val="auto"/>
                <w:sz w:val="24"/>
                <w:szCs w:val="24"/>
                <w:lang w:val="en-US" w:eastAsia="zh-CN"/>
              </w:rPr>
              <w:t>化粪池、原辅料堆放区</w:t>
            </w:r>
            <w:r>
              <w:rPr>
                <w:rFonts w:hint="default" w:ascii="Times New Roman" w:hAnsi="Times New Roman" w:eastAsia="宋体" w:cs="Times New Roman"/>
                <w:color w:val="auto"/>
                <w:sz w:val="24"/>
                <w:szCs w:val="24"/>
                <w:lang w:val="en-US" w:eastAsia="zh-CN"/>
              </w:rPr>
              <w:t>进行水泥硬化，并作防渗处理，应按照有关消防规范储存，并配备必要的消防设施。</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废气超标排放防范措施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项目运营期应对</w:t>
            </w:r>
            <w:r>
              <w:rPr>
                <w:rFonts w:hint="eastAsia" w:ascii="Times New Roman" w:hAnsi="Times New Roman" w:eastAsia="宋体" w:cs="Times New Roman"/>
                <w:color w:val="auto"/>
                <w:sz w:val="24"/>
                <w:szCs w:val="24"/>
                <w:lang w:val="en-US" w:eastAsia="zh-CN"/>
              </w:rPr>
              <w:t>水膜</w:t>
            </w:r>
            <w:r>
              <w:rPr>
                <w:rFonts w:hint="default" w:ascii="Times New Roman" w:hAnsi="Times New Roman" w:eastAsia="宋体" w:cs="Times New Roman"/>
                <w:color w:val="auto"/>
                <w:sz w:val="24"/>
                <w:szCs w:val="24"/>
                <w:lang w:val="en-US" w:eastAsia="zh-CN"/>
              </w:rPr>
              <w:t>除尘器定期清理检查，确保</w:t>
            </w:r>
            <w:r>
              <w:rPr>
                <w:rFonts w:hint="eastAsia" w:ascii="Times New Roman" w:hAnsi="Times New Roman" w:eastAsia="宋体" w:cs="Times New Roman"/>
                <w:color w:val="auto"/>
                <w:sz w:val="24"/>
                <w:szCs w:val="24"/>
                <w:lang w:val="en-US" w:eastAsia="zh-CN"/>
              </w:rPr>
              <w:t>水膜</w:t>
            </w:r>
            <w:r>
              <w:rPr>
                <w:rFonts w:hint="default" w:ascii="Times New Roman" w:hAnsi="Times New Roman" w:eastAsia="宋体" w:cs="Times New Roman"/>
                <w:color w:val="auto"/>
                <w:sz w:val="24"/>
                <w:szCs w:val="24"/>
                <w:lang w:val="en-US" w:eastAsia="zh-CN"/>
              </w:rPr>
              <w:t>除尘器处理效率，如发现</w:t>
            </w:r>
            <w:r>
              <w:rPr>
                <w:rFonts w:hint="eastAsia" w:ascii="Times New Roman" w:hAnsi="Times New Roman" w:eastAsia="宋体" w:cs="Times New Roman"/>
                <w:color w:val="auto"/>
                <w:sz w:val="24"/>
                <w:szCs w:val="24"/>
                <w:lang w:val="en-US" w:eastAsia="zh-CN"/>
              </w:rPr>
              <w:t>水膜</w:t>
            </w:r>
            <w:r>
              <w:rPr>
                <w:rFonts w:hint="default" w:ascii="Times New Roman" w:hAnsi="Times New Roman" w:eastAsia="宋体" w:cs="Times New Roman"/>
                <w:color w:val="auto"/>
                <w:sz w:val="24"/>
                <w:szCs w:val="24"/>
                <w:lang w:val="en-US" w:eastAsia="zh-CN"/>
              </w:rPr>
              <w:t>除尘器</w:t>
            </w:r>
            <w:r>
              <w:rPr>
                <w:rFonts w:hint="eastAsia" w:ascii="Times New Roman" w:hAnsi="Times New Roman" w:eastAsia="宋体" w:cs="Times New Roman"/>
                <w:color w:val="auto"/>
                <w:sz w:val="24"/>
                <w:szCs w:val="24"/>
                <w:lang w:val="en-US" w:eastAsia="zh-CN"/>
              </w:rPr>
              <w:t>效率降低</w:t>
            </w:r>
            <w:r>
              <w:rPr>
                <w:rFonts w:hint="default" w:ascii="Times New Roman" w:hAnsi="Times New Roman" w:eastAsia="宋体" w:cs="Times New Roman"/>
                <w:color w:val="auto"/>
                <w:sz w:val="24"/>
                <w:szCs w:val="24"/>
                <w:lang w:val="en-US" w:eastAsia="zh-CN"/>
              </w:rPr>
              <w:t>，则立即停机检修，更换</w:t>
            </w:r>
            <w:r>
              <w:rPr>
                <w:rFonts w:hint="eastAsia" w:ascii="Times New Roman" w:hAnsi="Times New Roman" w:eastAsia="宋体" w:cs="Times New Roman"/>
                <w:color w:val="auto"/>
                <w:sz w:val="24"/>
                <w:szCs w:val="24"/>
                <w:lang w:val="en-US" w:eastAsia="zh-CN"/>
              </w:rPr>
              <w:t>水膜用水</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建立事故救援应急机制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为保证企业及人民生命财产的安全，在发生事故时，能够迅速有序的开展救援工作，尽最大努力减少事故的危害和损失，根据《企业事业单位突发环境事件应急预案备案管理办法（试行）》，公司需成立一负责人为总指挥，分管生产负责人为副指挥的事故应急救援队伍，指挥部下设立办公室、工程抢修救援组、医疗救援组、后勤保障组。制定《突发环境事件应急救援预案》和实施细则，组织专业队伍学习和演练，提高队伍实战能力，防患于未然，以便应急救援工作的顺利开展。同时该厂必须将本单位危险源及有关安全措施、应急措施报告地方政府的安全生产监督管理部门和有关部门，以便政府及有关部门能够及时掌握有关情况，一旦发生事故，政府及其有关部门可以调动有关方面的力量进行救援，以减少事故损失。</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分析结论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综上，在采取相应管理及防治措施后，</w:t>
            </w:r>
            <w:r>
              <w:rPr>
                <w:rFonts w:hint="eastAsia" w:ascii="Times New Roman" w:hAnsi="Times New Roman" w:eastAsia="宋体" w:cs="Times New Roman"/>
                <w:color w:val="auto"/>
                <w:sz w:val="24"/>
                <w:szCs w:val="24"/>
                <w:lang w:val="en-US" w:eastAsia="zh-CN"/>
              </w:rPr>
              <w:t>化粪池</w:t>
            </w:r>
            <w:r>
              <w:rPr>
                <w:rFonts w:hint="default" w:ascii="Times New Roman" w:hAnsi="Times New Roman" w:eastAsia="宋体" w:cs="Times New Roman"/>
                <w:color w:val="auto"/>
                <w:sz w:val="24"/>
                <w:szCs w:val="24"/>
                <w:lang w:val="en-US" w:eastAsia="zh-CN"/>
              </w:rPr>
              <w:t>泄漏造成环境污染的风险在可接受的范围之内。</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环境监测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根据项目污染物产生及排放特征，根据《排污许可申请与核发技术规范 锅炉》（HJ953-2018）和《排污单位自行监测技术指南 总则》（HJ819-2017），相关要求，项目运营期的监测计划见下表；</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w:t>
            </w:r>
            <w:r>
              <w:rPr>
                <w:rFonts w:hint="eastAsia" w:ascii="Times New Roman" w:hAnsi="Times New Roman" w:eastAsia="宋体" w:cs="Times New Roman"/>
                <w:b/>
                <w:bCs/>
                <w:color w:val="auto"/>
                <w:sz w:val="21"/>
                <w:szCs w:val="21"/>
                <w:lang w:val="en-US" w:eastAsia="zh-CN"/>
              </w:rPr>
              <w:t>4-20</w:t>
            </w:r>
            <w:r>
              <w:rPr>
                <w:rFonts w:hint="default" w:ascii="Times New Roman" w:hAnsi="Times New Roman" w:eastAsia="宋体" w:cs="Times New Roman"/>
                <w:b/>
                <w:bCs/>
                <w:color w:val="auto"/>
                <w:sz w:val="21"/>
                <w:szCs w:val="21"/>
                <w:lang w:val="en-US" w:eastAsia="zh-CN"/>
              </w:rPr>
              <w:t xml:space="preserve">  项目运营期环境监测计划表</w:t>
            </w:r>
          </w:p>
          <w:tbl>
            <w:tblPr>
              <w:tblStyle w:val="7"/>
              <w:tblW w:w="7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769"/>
              <w:gridCol w:w="1005"/>
              <w:gridCol w:w="1551"/>
              <w:gridCol w:w="2170"/>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监测类型</w:t>
                  </w:r>
                </w:p>
              </w:tc>
              <w:tc>
                <w:tcPr>
                  <w:tcW w:w="769"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监测项目</w:t>
                  </w:r>
                </w:p>
              </w:tc>
              <w:tc>
                <w:tcPr>
                  <w:tcW w:w="1005"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监测地点</w:t>
                  </w:r>
                </w:p>
              </w:tc>
              <w:tc>
                <w:tcPr>
                  <w:tcW w:w="1551"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监测因子</w:t>
                  </w:r>
                </w:p>
              </w:tc>
              <w:tc>
                <w:tcPr>
                  <w:tcW w:w="2170"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执行标准</w:t>
                  </w:r>
                </w:p>
              </w:tc>
              <w:tc>
                <w:tcPr>
                  <w:tcW w:w="1528" w:type="dxa"/>
                  <w:vAlign w:val="center"/>
                </w:tcPr>
                <w:p>
                  <w:pPr>
                    <w:bidi w:val="0"/>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Merge w:val="restart"/>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污染物监测</w:t>
                  </w:r>
                </w:p>
              </w:tc>
              <w:tc>
                <w:tcPr>
                  <w:tcW w:w="769"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声环境</w:t>
                  </w:r>
                </w:p>
              </w:tc>
              <w:tc>
                <w:tcPr>
                  <w:tcW w:w="1005"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厂界东、南、西、北侧</w:t>
                  </w:r>
                </w:p>
              </w:tc>
              <w:tc>
                <w:tcPr>
                  <w:tcW w:w="1551"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LeqA</w:t>
                  </w:r>
                </w:p>
              </w:tc>
              <w:tc>
                <w:tcPr>
                  <w:tcW w:w="2170"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《工业企业厂界环境噪声排放标准》（GB12348-2008）2类</w:t>
                  </w:r>
                  <w:r>
                    <w:rPr>
                      <w:rFonts w:hint="eastAsia" w:ascii="Times New Roman" w:hAnsi="Times New Roman" w:eastAsia="宋体" w:cs="Times New Roman"/>
                      <w:color w:val="auto"/>
                      <w:sz w:val="21"/>
                      <w:szCs w:val="21"/>
                      <w:lang w:val="en-US" w:eastAsia="zh-CN"/>
                    </w:rPr>
                    <w:t>、4类</w:t>
                  </w:r>
                  <w:r>
                    <w:rPr>
                      <w:rFonts w:hint="default" w:ascii="Times New Roman" w:hAnsi="Times New Roman" w:eastAsia="宋体" w:cs="Times New Roman"/>
                      <w:color w:val="auto"/>
                      <w:sz w:val="21"/>
                      <w:szCs w:val="21"/>
                      <w:lang w:val="en-US" w:eastAsia="zh-CN"/>
                    </w:rPr>
                    <w:t>标准</w:t>
                  </w:r>
                </w:p>
              </w:tc>
              <w:tc>
                <w:tcPr>
                  <w:tcW w:w="1528" w:type="dxa"/>
                  <w:vMerge w:val="restart"/>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根据《排污许可申请与核发技术规范 锅炉》和《排污单位自行监测技术指南 总则》要求进行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Merge w:val="continue"/>
                  <w:vAlign w:val="center"/>
                </w:tcPr>
                <w:p>
                  <w:pPr>
                    <w:bidi w:val="0"/>
                    <w:jc w:val="center"/>
                    <w:rPr>
                      <w:rFonts w:hint="default" w:ascii="Times New Roman" w:hAnsi="Times New Roman" w:eastAsia="宋体" w:cs="Times New Roman"/>
                      <w:color w:val="auto"/>
                      <w:sz w:val="21"/>
                      <w:szCs w:val="21"/>
                      <w:lang w:val="en-US" w:eastAsia="zh-CN"/>
                    </w:rPr>
                  </w:pPr>
                </w:p>
              </w:tc>
              <w:tc>
                <w:tcPr>
                  <w:tcW w:w="769"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大气环境</w:t>
                  </w:r>
                </w:p>
              </w:tc>
              <w:tc>
                <w:tcPr>
                  <w:tcW w:w="1005"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烟囱排气筒</w:t>
                  </w:r>
                </w:p>
              </w:tc>
              <w:tc>
                <w:tcPr>
                  <w:tcW w:w="1551"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颗粒物、二氧化硫、氮氧化物、烟气黑度</w:t>
                  </w:r>
                </w:p>
              </w:tc>
              <w:tc>
                <w:tcPr>
                  <w:tcW w:w="2170"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《锅炉大气污染物排放标准》（GB13271-2014）中表2标准</w:t>
                  </w:r>
                </w:p>
              </w:tc>
              <w:tc>
                <w:tcPr>
                  <w:tcW w:w="1528" w:type="dxa"/>
                  <w:vMerge w:val="continue"/>
                  <w:vAlign w:val="center"/>
                </w:tcPr>
                <w:p>
                  <w:pPr>
                    <w:bidi w:val="0"/>
                    <w:jc w:val="center"/>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Merge w:val="continue"/>
                  <w:vAlign w:val="center"/>
                </w:tcPr>
                <w:p>
                  <w:pPr>
                    <w:bidi w:val="0"/>
                    <w:jc w:val="center"/>
                    <w:rPr>
                      <w:rFonts w:hint="default" w:ascii="Times New Roman" w:hAnsi="Times New Roman" w:eastAsia="宋体" w:cs="Times New Roman"/>
                      <w:color w:val="auto"/>
                      <w:sz w:val="21"/>
                      <w:szCs w:val="21"/>
                      <w:lang w:val="en-US" w:eastAsia="zh-CN"/>
                    </w:rPr>
                  </w:pPr>
                </w:p>
              </w:tc>
              <w:tc>
                <w:tcPr>
                  <w:tcW w:w="769"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污水</w:t>
                  </w:r>
                </w:p>
              </w:tc>
              <w:tc>
                <w:tcPr>
                  <w:tcW w:w="1005"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综合排放口</w:t>
                  </w:r>
                </w:p>
              </w:tc>
              <w:tc>
                <w:tcPr>
                  <w:tcW w:w="1551" w:type="dxa"/>
                  <w:vAlign w:val="center"/>
                </w:tcPr>
                <w:p>
                  <w:pPr>
                    <w:bidi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pH、COD、BOD</w:t>
                  </w:r>
                  <w:r>
                    <w:rPr>
                      <w:rFonts w:hint="default" w:ascii="Times New Roman" w:hAnsi="Times New Roman" w:eastAsia="宋体" w:cs="Times New Roman"/>
                      <w:color w:val="auto"/>
                      <w:sz w:val="21"/>
                      <w:szCs w:val="21"/>
                      <w:vertAlign w:val="subscript"/>
                      <w:lang w:val="en-US" w:eastAsia="zh-CN"/>
                    </w:rPr>
                    <w:t>5</w:t>
                  </w:r>
                  <w:r>
                    <w:rPr>
                      <w:rFonts w:hint="default" w:ascii="Times New Roman" w:hAnsi="Times New Roman" w:eastAsia="宋体" w:cs="Times New Roman"/>
                      <w:color w:val="auto"/>
                      <w:sz w:val="21"/>
                      <w:szCs w:val="21"/>
                      <w:lang w:val="en-US" w:eastAsia="zh-CN"/>
                    </w:rPr>
                    <w:t>、SS、氨氮、总氮、总磷、阴离子</w:t>
                  </w:r>
                  <w:r>
                    <w:rPr>
                      <w:rFonts w:hint="eastAsia" w:ascii="Times New Roman" w:hAnsi="Times New Roman" w:eastAsia="宋体" w:cs="Times New Roman"/>
                      <w:color w:val="auto"/>
                      <w:sz w:val="21"/>
                      <w:szCs w:val="21"/>
                      <w:lang w:val="en-US" w:eastAsia="zh-CN"/>
                    </w:rPr>
                    <w:t>表面活性剂</w:t>
                  </w:r>
                  <w:r>
                    <w:rPr>
                      <w:rFonts w:hint="default" w:ascii="Times New Roman" w:hAnsi="Times New Roman" w:eastAsia="宋体" w:cs="Times New Roman"/>
                      <w:color w:val="auto"/>
                      <w:sz w:val="21"/>
                      <w:szCs w:val="21"/>
                      <w:lang w:val="en-US" w:eastAsia="zh-CN"/>
                    </w:rPr>
                    <w:t>、动植物油</w:t>
                  </w:r>
                </w:p>
              </w:tc>
              <w:tc>
                <w:tcPr>
                  <w:tcW w:w="2170" w:type="dxa"/>
                  <w:vAlign w:val="center"/>
                </w:tcPr>
                <w:p>
                  <w:pPr>
                    <w:bidi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《污水综合排放标准》（GB8978-1996）三级标准</w:t>
                  </w:r>
                </w:p>
              </w:tc>
              <w:tc>
                <w:tcPr>
                  <w:tcW w:w="1528" w:type="dxa"/>
                  <w:vMerge w:val="continue"/>
                  <w:vAlign w:val="center"/>
                </w:tcPr>
                <w:p>
                  <w:pPr>
                    <w:bidi w:val="0"/>
                    <w:jc w:val="center"/>
                    <w:rPr>
                      <w:rFonts w:hint="eastAsia" w:ascii="Times New Roman" w:hAnsi="Times New Roman" w:eastAsia="宋体" w:cs="Times New Roman"/>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lang w:val="en-US" w:eastAsia="zh-CN"/>
              </w:rPr>
            </w:pPr>
            <w:r>
              <w:rPr>
                <w:rFonts w:hint="default" w:ascii="Times New Roman" w:hAnsi="Times New Roman" w:cs="Times New Roman"/>
                <w:color w:val="auto"/>
                <w:sz w:val="24"/>
                <w:szCs w:val="24"/>
                <w:lang w:val="en-US" w:eastAsia="zh-CN"/>
              </w:rPr>
              <w:t>竣工验收监测计划见下表；</w:t>
            </w:r>
          </w:p>
          <w:p>
            <w:p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w:t>
            </w:r>
            <w:r>
              <w:rPr>
                <w:rFonts w:hint="eastAsia" w:ascii="Times New Roman" w:hAnsi="Times New Roman" w:eastAsia="宋体" w:cs="Times New Roman"/>
                <w:b/>
                <w:bCs/>
                <w:color w:val="auto"/>
                <w:sz w:val="21"/>
                <w:szCs w:val="21"/>
                <w:lang w:val="en-US" w:eastAsia="zh-CN"/>
              </w:rPr>
              <w:t>4-21</w:t>
            </w:r>
            <w:r>
              <w:rPr>
                <w:rFonts w:hint="default" w:ascii="Times New Roman" w:hAnsi="Times New Roman" w:eastAsia="宋体" w:cs="Times New Roman"/>
                <w:b/>
                <w:bCs/>
                <w:color w:val="auto"/>
                <w:sz w:val="21"/>
                <w:szCs w:val="21"/>
                <w:lang w:val="en-US" w:eastAsia="zh-CN"/>
              </w:rPr>
              <w:t xml:space="preserve">  项目竣工环境保护验收监测计划表</w:t>
            </w:r>
          </w:p>
          <w:tbl>
            <w:tblPr>
              <w:tblStyle w:val="7"/>
              <w:tblW w:w="7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75"/>
              <w:gridCol w:w="1237"/>
              <w:gridCol w:w="1663"/>
              <w:gridCol w:w="1137"/>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监测类型</w:t>
                  </w:r>
                </w:p>
              </w:tc>
              <w:tc>
                <w:tcPr>
                  <w:tcW w:w="775"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监测项目</w:t>
                  </w:r>
                </w:p>
              </w:tc>
              <w:tc>
                <w:tcPr>
                  <w:tcW w:w="1237"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监测地点</w:t>
                  </w:r>
                </w:p>
              </w:tc>
              <w:tc>
                <w:tcPr>
                  <w:tcW w:w="1663"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监测因子</w:t>
                  </w:r>
                </w:p>
              </w:tc>
              <w:tc>
                <w:tcPr>
                  <w:tcW w:w="1137"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监测频次</w:t>
                  </w:r>
                </w:p>
              </w:tc>
              <w:tc>
                <w:tcPr>
                  <w:tcW w:w="2332"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污染物监测</w:t>
                  </w:r>
                </w:p>
              </w:tc>
              <w:tc>
                <w:tcPr>
                  <w:tcW w:w="77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噪声</w:t>
                  </w:r>
                </w:p>
              </w:tc>
              <w:tc>
                <w:tcPr>
                  <w:tcW w:w="123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厂界东、南、西、北侧</w:t>
                  </w:r>
                </w:p>
              </w:tc>
              <w:tc>
                <w:tcPr>
                  <w:tcW w:w="1663"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LeqA</w:t>
                  </w:r>
                </w:p>
              </w:tc>
              <w:tc>
                <w:tcPr>
                  <w:tcW w:w="113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连续监测2天，每天昼夜各1次</w:t>
                  </w:r>
                </w:p>
              </w:tc>
              <w:tc>
                <w:tcPr>
                  <w:tcW w:w="2332"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《工业企业厂界环境噪声排放标准》（GB12348-2008）2类标准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77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大气环境</w:t>
                  </w:r>
                </w:p>
              </w:tc>
              <w:tc>
                <w:tcPr>
                  <w:tcW w:w="123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烟囱排气筒</w:t>
                  </w:r>
                </w:p>
              </w:tc>
              <w:tc>
                <w:tcPr>
                  <w:tcW w:w="1663"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颗粒物、SO</w:t>
                  </w:r>
                  <w:r>
                    <w:rPr>
                      <w:rFonts w:hint="default" w:ascii="Times New Roman" w:hAnsi="Times New Roman" w:eastAsia="宋体" w:cs="Times New Roman"/>
                      <w:color w:val="auto"/>
                      <w:sz w:val="21"/>
                      <w:szCs w:val="21"/>
                      <w:vertAlign w:val="subscript"/>
                      <w:lang w:val="en-US" w:eastAsia="zh-CN"/>
                    </w:rPr>
                    <w:t>2</w:t>
                  </w:r>
                  <w:r>
                    <w:rPr>
                      <w:rFonts w:hint="default" w:ascii="Times New Roman" w:hAnsi="Times New Roman" w:eastAsia="宋体" w:cs="Times New Roman"/>
                      <w:color w:val="auto"/>
                      <w:sz w:val="21"/>
                      <w:szCs w:val="21"/>
                      <w:vertAlign w:val="baseline"/>
                      <w:lang w:val="en-US" w:eastAsia="zh-CN"/>
                    </w:rPr>
                    <w:t>、NOx、林格曼黑度</w:t>
                  </w:r>
                </w:p>
              </w:tc>
              <w:tc>
                <w:tcPr>
                  <w:tcW w:w="1137"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连续监测2天，每天采样3次</w:t>
                  </w:r>
                </w:p>
              </w:tc>
              <w:tc>
                <w:tcPr>
                  <w:tcW w:w="2332"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lang w:val="en-US" w:eastAsia="zh-CN"/>
                    </w:rPr>
                    <w:t>《锅炉大气污染物排放标准》（GB13271-2014）中表2标准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775"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水环境</w:t>
                  </w:r>
                </w:p>
              </w:tc>
              <w:tc>
                <w:tcPr>
                  <w:tcW w:w="1237"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综合污水排放口</w:t>
                  </w:r>
                </w:p>
              </w:tc>
              <w:tc>
                <w:tcPr>
                  <w:tcW w:w="1663"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pH、</w:t>
                  </w:r>
                  <w:r>
                    <w:rPr>
                      <w:rFonts w:hint="default" w:ascii="Times New Roman" w:hAnsi="Times New Roman" w:eastAsia="宋体" w:cs="Times New Roman"/>
                      <w:color w:val="auto"/>
                      <w:sz w:val="21"/>
                      <w:szCs w:val="21"/>
                      <w:lang w:val="en-US" w:eastAsia="zh-CN"/>
                    </w:rPr>
                    <w:t>COD、BOD</w:t>
                  </w:r>
                  <w:r>
                    <w:rPr>
                      <w:rFonts w:hint="default" w:ascii="Times New Roman" w:hAnsi="Times New Roman" w:eastAsia="宋体" w:cs="Times New Roman"/>
                      <w:color w:val="auto"/>
                      <w:sz w:val="21"/>
                      <w:szCs w:val="21"/>
                      <w:vertAlign w:val="subscript"/>
                      <w:lang w:val="en-US" w:eastAsia="zh-CN"/>
                    </w:rPr>
                    <w:t>5</w:t>
                  </w:r>
                  <w:r>
                    <w:rPr>
                      <w:rFonts w:hint="default" w:ascii="Times New Roman" w:hAnsi="Times New Roman" w:eastAsia="宋体" w:cs="Times New Roman"/>
                      <w:color w:val="auto"/>
                      <w:sz w:val="21"/>
                      <w:szCs w:val="21"/>
                      <w:lang w:val="en-US" w:eastAsia="zh-CN"/>
                    </w:rPr>
                    <w:t>、SS、氨氮、总氮、总磷、阴离子、动植物油</w:t>
                  </w:r>
                </w:p>
              </w:tc>
              <w:tc>
                <w:tcPr>
                  <w:tcW w:w="1137"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2332"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lang w:val="en-US" w:eastAsia="zh-CN"/>
                    </w:rPr>
                    <w:t>《污水综合排放标准》（GB8978-1996）三级标准</w:t>
                  </w:r>
                </w:p>
              </w:tc>
            </w:tr>
          </w:tbl>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tc>
      </w:tr>
    </w:tbl>
    <w:p>
      <w:pPr>
        <w:pStyle w:val="3"/>
        <w:numPr>
          <w:ilvl w:val="0"/>
          <w:numId w:val="26"/>
        </w:numPr>
        <w:bidi w:val="0"/>
        <w:rPr>
          <w:rFonts w:hint="eastAsia"/>
          <w:lang w:val="en-US" w:eastAsia="zh-CN"/>
        </w:rPr>
      </w:pPr>
      <w:r>
        <w:rPr>
          <w:rFonts w:hint="eastAsia"/>
          <w:lang w:val="en-US" w:eastAsia="zh-CN"/>
        </w:rPr>
        <w:t>环境保护措施监督检查清单</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357"/>
        <w:gridCol w:w="1784"/>
        <w:gridCol w:w="2225"/>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8" w:type="dxa"/>
            <w:vAlign w:val="center"/>
          </w:tcPr>
          <w:p>
            <w:pPr>
              <w:numPr>
                <w:ilvl w:val="0"/>
                <w:numId w:val="0"/>
              </w:numPr>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内容</w:t>
            </w:r>
          </w:p>
          <w:p>
            <w:pPr>
              <w:numPr>
                <w:ilvl w:val="0"/>
                <w:numId w:val="0"/>
              </w:numPr>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要素</w:t>
            </w:r>
          </w:p>
        </w:tc>
        <w:tc>
          <w:tcPr>
            <w:tcW w:w="1357" w:type="dxa"/>
            <w:vAlign w:val="center"/>
          </w:tcPr>
          <w:p>
            <w:pPr>
              <w:numPr>
                <w:ilvl w:val="0"/>
                <w:numId w:val="0"/>
              </w:numPr>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排放口（编号、名称）/污染源</w:t>
            </w:r>
          </w:p>
        </w:tc>
        <w:tc>
          <w:tcPr>
            <w:tcW w:w="1784" w:type="dxa"/>
            <w:vAlign w:val="center"/>
          </w:tcPr>
          <w:p>
            <w:pPr>
              <w:numPr>
                <w:ilvl w:val="0"/>
                <w:numId w:val="0"/>
              </w:numPr>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污染物项目</w:t>
            </w:r>
          </w:p>
        </w:tc>
        <w:tc>
          <w:tcPr>
            <w:tcW w:w="2225" w:type="dxa"/>
            <w:vAlign w:val="center"/>
          </w:tcPr>
          <w:p>
            <w:pPr>
              <w:numPr>
                <w:ilvl w:val="0"/>
                <w:numId w:val="0"/>
              </w:numPr>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环境保护措施</w:t>
            </w:r>
          </w:p>
        </w:tc>
        <w:tc>
          <w:tcPr>
            <w:tcW w:w="2128" w:type="dxa"/>
            <w:vAlign w:val="center"/>
          </w:tcPr>
          <w:p>
            <w:pPr>
              <w:numPr>
                <w:ilvl w:val="0"/>
                <w:numId w:val="0"/>
              </w:numPr>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8"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大气环境</w:t>
            </w:r>
          </w:p>
        </w:tc>
        <w:tc>
          <w:tcPr>
            <w:tcW w:w="1357"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锅炉排气筒</w:t>
            </w:r>
            <w:r>
              <w:rPr>
                <w:rFonts w:hint="eastAsia" w:ascii="Times New Roman" w:hAnsi="Times New Roman" w:eastAsia="宋体" w:cs="Times New Roman"/>
                <w:color w:val="auto"/>
                <w:sz w:val="24"/>
                <w:szCs w:val="24"/>
                <w:vertAlign w:val="baseline"/>
                <w:lang w:val="en-US" w:eastAsia="zh-CN"/>
              </w:rPr>
              <w:t>DA001</w:t>
            </w:r>
          </w:p>
        </w:tc>
        <w:tc>
          <w:tcPr>
            <w:tcW w:w="1784"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颗粒物、SO</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vertAlign w:val="baseline"/>
                <w:lang w:val="en-US" w:eastAsia="zh-CN"/>
              </w:rPr>
              <w:t>、NO</w:t>
            </w:r>
            <w:r>
              <w:rPr>
                <w:rFonts w:hint="default" w:ascii="Times New Roman" w:hAnsi="Times New Roman" w:eastAsia="宋体" w:cs="Times New Roman"/>
                <w:color w:val="auto"/>
                <w:sz w:val="24"/>
                <w:szCs w:val="24"/>
                <w:vertAlign w:val="subscript"/>
                <w:lang w:val="en-US" w:eastAsia="zh-CN"/>
              </w:rPr>
              <w:t>x</w:t>
            </w:r>
          </w:p>
        </w:tc>
        <w:tc>
          <w:tcPr>
            <w:tcW w:w="2225"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锅炉配置</w:t>
            </w:r>
            <w:r>
              <w:rPr>
                <w:rFonts w:hint="eastAsia" w:ascii="Times New Roman" w:hAnsi="Times New Roman" w:eastAsia="宋体" w:cs="Times New Roman"/>
                <w:color w:val="auto"/>
                <w:sz w:val="24"/>
                <w:szCs w:val="24"/>
                <w:vertAlign w:val="baseline"/>
                <w:lang w:val="en-US" w:eastAsia="zh-CN"/>
              </w:rPr>
              <w:t>2套水膜</w:t>
            </w:r>
            <w:r>
              <w:rPr>
                <w:rFonts w:hint="default" w:ascii="Times New Roman" w:hAnsi="Times New Roman" w:eastAsia="宋体" w:cs="Times New Roman"/>
                <w:color w:val="auto"/>
                <w:sz w:val="24"/>
                <w:szCs w:val="24"/>
                <w:vertAlign w:val="baseline"/>
                <w:lang w:val="en-US" w:eastAsia="zh-CN"/>
              </w:rPr>
              <w:t>除尘器，经</w:t>
            </w:r>
            <w:r>
              <w:rPr>
                <w:rFonts w:hint="eastAsia" w:ascii="Times New Roman" w:hAnsi="Times New Roman" w:eastAsia="宋体" w:cs="Times New Roman"/>
                <w:color w:val="auto"/>
                <w:sz w:val="24"/>
                <w:szCs w:val="24"/>
                <w:vertAlign w:val="baseline"/>
                <w:lang w:val="en-US" w:eastAsia="zh-CN"/>
              </w:rPr>
              <w:t>1根30</w:t>
            </w:r>
            <w:r>
              <w:rPr>
                <w:rFonts w:hint="default" w:ascii="Times New Roman" w:hAnsi="Times New Roman" w:eastAsia="宋体" w:cs="Times New Roman"/>
                <w:color w:val="auto"/>
                <w:sz w:val="24"/>
                <w:szCs w:val="24"/>
                <w:vertAlign w:val="baseline"/>
                <w:lang w:val="en-US" w:eastAsia="zh-CN"/>
              </w:rPr>
              <w:t>m高排气筒排放。</w:t>
            </w:r>
          </w:p>
        </w:tc>
        <w:tc>
          <w:tcPr>
            <w:tcW w:w="2128"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《锅炉大气污染物排放标准》（GB13271-2014）中表2标准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8" w:type="dxa"/>
            <w:vMerge w:val="restart"/>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地表水环境</w:t>
            </w:r>
          </w:p>
        </w:tc>
        <w:tc>
          <w:tcPr>
            <w:tcW w:w="1357"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洗涤废水</w:t>
            </w:r>
          </w:p>
        </w:tc>
        <w:tc>
          <w:tcPr>
            <w:tcW w:w="1784"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COD、BOD</w:t>
            </w:r>
            <w:r>
              <w:rPr>
                <w:rFonts w:hint="default" w:ascii="Times New Roman" w:hAnsi="Times New Roman" w:eastAsia="宋体" w:cs="Times New Roman"/>
                <w:color w:val="auto"/>
                <w:sz w:val="24"/>
                <w:szCs w:val="24"/>
                <w:vertAlign w:val="subscript"/>
                <w:lang w:val="en-US" w:eastAsia="zh-CN"/>
              </w:rPr>
              <w:t>5</w:t>
            </w:r>
            <w:r>
              <w:rPr>
                <w:rFonts w:hint="default" w:ascii="Times New Roman" w:hAnsi="Times New Roman" w:eastAsia="宋体" w:cs="Times New Roman"/>
                <w:color w:val="auto"/>
                <w:sz w:val="24"/>
                <w:szCs w:val="24"/>
                <w:vertAlign w:val="baseline"/>
                <w:lang w:val="en-US" w:eastAsia="zh-CN"/>
              </w:rPr>
              <w:t>、SS、氨氮、总磷、总氮、动植物油、LAS</w:t>
            </w:r>
          </w:p>
        </w:tc>
        <w:tc>
          <w:tcPr>
            <w:tcW w:w="2225" w:type="dxa"/>
            <w:vMerge w:val="restart"/>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1个不低于80m³化粪池，生产废水经化粪池处理达标后，排入牛街乡污水处理厂</w:t>
            </w:r>
          </w:p>
        </w:tc>
        <w:tc>
          <w:tcPr>
            <w:tcW w:w="2128" w:type="dxa"/>
            <w:vMerge w:val="restart"/>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《污水综合排放标准》（GB8978-1996）三级标准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8" w:type="dxa"/>
            <w:vMerge w:val="continue"/>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p>
        </w:tc>
        <w:tc>
          <w:tcPr>
            <w:tcW w:w="1357"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锅炉</w:t>
            </w:r>
            <w:r>
              <w:rPr>
                <w:rFonts w:hint="eastAsia" w:ascii="Times New Roman" w:hAnsi="Times New Roman" w:eastAsia="宋体" w:cs="Times New Roman"/>
                <w:color w:val="auto"/>
                <w:sz w:val="24"/>
                <w:szCs w:val="24"/>
                <w:vertAlign w:val="baseline"/>
                <w:lang w:val="en-US" w:eastAsia="zh-CN"/>
              </w:rPr>
              <w:t>、软水制备</w:t>
            </w:r>
            <w:r>
              <w:rPr>
                <w:rFonts w:hint="default" w:ascii="Times New Roman" w:hAnsi="Times New Roman" w:eastAsia="宋体" w:cs="Times New Roman"/>
                <w:color w:val="auto"/>
                <w:sz w:val="24"/>
                <w:szCs w:val="24"/>
                <w:vertAlign w:val="baseline"/>
                <w:lang w:val="en-US" w:eastAsia="zh-CN"/>
              </w:rPr>
              <w:t>废水</w:t>
            </w:r>
          </w:p>
        </w:tc>
        <w:tc>
          <w:tcPr>
            <w:tcW w:w="1784"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SS</w:t>
            </w:r>
            <w:r>
              <w:rPr>
                <w:rFonts w:hint="eastAsia" w:ascii="Times New Roman" w:hAnsi="Times New Roman" w:eastAsia="宋体" w:cs="Times New Roman"/>
                <w:color w:val="auto"/>
                <w:sz w:val="24"/>
                <w:szCs w:val="24"/>
                <w:vertAlign w:val="baseline"/>
                <w:lang w:val="en-US" w:eastAsia="zh-CN"/>
              </w:rPr>
              <w:t>、</w:t>
            </w:r>
            <w:r>
              <w:rPr>
                <w:rFonts w:hint="default" w:ascii="Times New Roman" w:hAnsi="Times New Roman" w:eastAsia="宋体" w:cs="Times New Roman"/>
                <w:color w:val="auto"/>
                <w:sz w:val="24"/>
                <w:szCs w:val="24"/>
                <w:vertAlign w:val="baseline"/>
                <w:lang w:val="en-US" w:eastAsia="zh-CN"/>
              </w:rPr>
              <w:t>钙</w:t>
            </w:r>
            <w:r>
              <w:rPr>
                <w:rFonts w:hint="eastAsia" w:ascii="Times New Roman" w:hAnsi="Times New Roman" w:eastAsia="宋体" w:cs="Times New Roman"/>
                <w:color w:val="auto"/>
                <w:sz w:val="24"/>
                <w:szCs w:val="24"/>
                <w:vertAlign w:val="baseline"/>
                <w:lang w:val="en-US" w:eastAsia="zh-CN"/>
              </w:rPr>
              <w:t>、</w:t>
            </w:r>
            <w:r>
              <w:rPr>
                <w:rFonts w:hint="default" w:ascii="Times New Roman" w:hAnsi="Times New Roman" w:eastAsia="宋体" w:cs="Times New Roman"/>
                <w:color w:val="auto"/>
                <w:sz w:val="24"/>
                <w:szCs w:val="24"/>
                <w:vertAlign w:val="baseline"/>
                <w:lang w:val="en-US" w:eastAsia="zh-CN"/>
              </w:rPr>
              <w:t>镁离子</w:t>
            </w:r>
          </w:p>
        </w:tc>
        <w:tc>
          <w:tcPr>
            <w:tcW w:w="2225" w:type="dxa"/>
            <w:vMerge w:val="continue"/>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p>
        </w:tc>
        <w:tc>
          <w:tcPr>
            <w:tcW w:w="2128" w:type="dxa"/>
            <w:vMerge w:val="continue"/>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8" w:type="dxa"/>
            <w:vMerge w:val="continue"/>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p>
        </w:tc>
        <w:tc>
          <w:tcPr>
            <w:tcW w:w="1357"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生活污水</w:t>
            </w:r>
          </w:p>
        </w:tc>
        <w:tc>
          <w:tcPr>
            <w:tcW w:w="1784"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COD、BOD</w:t>
            </w:r>
            <w:r>
              <w:rPr>
                <w:rFonts w:hint="default" w:ascii="Times New Roman" w:hAnsi="Times New Roman" w:eastAsia="宋体" w:cs="Times New Roman"/>
                <w:color w:val="auto"/>
                <w:sz w:val="24"/>
                <w:szCs w:val="24"/>
                <w:vertAlign w:val="subscript"/>
                <w:lang w:val="en-US" w:eastAsia="zh-CN"/>
              </w:rPr>
              <w:t>5</w:t>
            </w:r>
            <w:r>
              <w:rPr>
                <w:rFonts w:hint="default" w:ascii="Times New Roman" w:hAnsi="Times New Roman" w:eastAsia="宋体" w:cs="Times New Roman"/>
                <w:color w:val="auto"/>
                <w:sz w:val="24"/>
                <w:szCs w:val="24"/>
                <w:vertAlign w:val="baseline"/>
                <w:lang w:val="en-US" w:eastAsia="zh-CN"/>
              </w:rPr>
              <w:t>、氨氮、总磷、SS等</w:t>
            </w:r>
          </w:p>
        </w:tc>
        <w:tc>
          <w:tcPr>
            <w:tcW w:w="2225"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生活污水经</w:t>
            </w:r>
            <w:r>
              <w:rPr>
                <w:rFonts w:hint="default" w:ascii="Times New Roman" w:hAnsi="Times New Roman" w:eastAsia="宋体" w:cs="Times New Roman"/>
                <w:color w:val="auto"/>
                <w:sz w:val="24"/>
                <w:szCs w:val="24"/>
                <w:vertAlign w:val="baseline"/>
                <w:lang w:val="en-US" w:eastAsia="zh-CN"/>
              </w:rPr>
              <w:t>化粪池</w:t>
            </w:r>
            <w:r>
              <w:rPr>
                <w:rFonts w:hint="eastAsia" w:ascii="Times New Roman" w:hAnsi="Times New Roman" w:eastAsia="宋体" w:cs="Times New Roman"/>
                <w:color w:val="auto"/>
                <w:sz w:val="24"/>
                <w:szCs w:val="24"/>
                <w:vertAlign w:val="baseline"/>
                <w:lang w:val="en-US" w:eastAsia="zh-CN"/>
              </w:rPr>
              <w:t>（4m³）</w:t>
            </w:r>
            <w:r>
              <w:rPr>
                <w:rFonts w:hint="default" w:ascii="Times New Roman" w:hAnsi="Times New Roman" w:eastAsia="宋体" w:cs="Times New Roman"/>
                <w:color w:val="auto"/>
                <w:sz w:val="24"/>
                <w:szCs w:val="24"/>
                <w:vertAlign w:val="baseline"/>
                <w:lang w:val="en-US" w:eastAsia="zh-CN"/>
              </w:rPr>
              <w:t>进行处理，</w:t>
            </w:r>
            <w:r>
              <w:rPr>
                <w:rFonts w:hint="eastAsia" w:ascii="Times New Roman" w:hAnsi="Times New Roman" w:eastAsia="宋体" w:cs="Times New Roman"/>
                <w:color w:val="auto"/>
                <w:sz w:val="24"/>
                <w:szCs w:val="24"/>
                <w:vertAlign w:val="baseline"/>
                <w:lang w:val="en-US" w:eastAsia="zh-CN"/>
              </w:rPr>
              <w:t>排入市政污水管网，最终进入牛街乡污水处理厂</w:t>
            </w:r>
          </w:p>
        </w:tc>
        <w:tc>
          <w:tcPr>
            <w:tcW w:w="2128"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《污水综合排放标准》（GB8978-1996）三级标准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8" w:type="dxa"/>
            <w:vMerge w:val="restart"/>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声环境</w:t>
            </w:r>
          </w:p>
        </w:tc>
        <w:tc>
          <w:tcPr>
            <w:tcW w:w="1357"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生产车间</w:t>
            </w:r>
          </w:p>
        </w:tc>
        <w:tc>
          <w:tcPr>
            <w:tcW w:w="1784"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设备噪声</w:t>
            </w:r>
          </w:p>
        </w:tc>
        <w:tc>
          <w:tcPr>
            <w:tcW w:w="2225"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生产作业均在封闭式厂房内进行，项目选用低噪声设备，采取减震、墙体阻隔等措施，加强设备的维护保养。</w:t>
            </w:r>
          </w:p>
        </w:tc>
        <w:tc>
          <w:tcPr>
            <w:tcW w:w="2128" w:type="dxa"/>
            <w:vMerge w:val="restart"/>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《工业企业厂界环境噪声排放标准》（GB12348-2008）2类、4类标准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8" w:type="dxa"/>
            <w:vMerge w:val="continue"/>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p>
        </w:tc>
        <w:tc>
          <w:tcPr>
            <w:tcW w:w="1357"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锅炉房</w:t>
            </w:r>
          </w:p>
        </w:tc>
        <w:tc>
          <w:tcPr>
            <w:tcW w:w="1784"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设备噪声</w:t>
            </w:r>
          </w:p>
        </w:tc>
        <w:tc>
          <w:tcPr>
            <w:tcW w:w="2225"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远离西北侧居民点布设，设备进行基础固定，安装防震垫措施。</w:t>
            </w:r>
          </w:p>
        </w:tc>
        <w:tc>
          <w:tcPr>
            <w:tcW w:w="2128" w:type="dxa"/>
            <w:vMerge w:val="continue"/>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8" w:type="dxa"/>
            <w:vMerge w:val="continue"/>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p>
        </w:tc>
        <w:tc>
          <w:tcPr>
            <w:tcW w:w="1357"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项目东侧</w:t>
            </w:r>
            <w:r>
              <w:rPr>
                <w:rFonts w:hint="eastAsia" w:ascii="Times New Roman" w:hAnsi="Times New Roman" w:eastAsia="宋体" w:cs="Times New Roman"/>
                <w:color w:val="auto"/>
                <w:sz w:val="24"/>
                <w:szCs w:val="24"/>
                <w:vertAlign w:val="baseline"/>
                <w:lang w:val="en-US" w:eastAsia="zh-CN"/>
              </w:rPr>
              <w:t>、北侧</w:t>
            </w:r>
          </w:p>
        </w:tc>
        <w:tc>
          <w:tcPr>
            <w:tcW w:w="1784"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交通噪声</w:t>
            </w:r>
          </w:p>
        </w:tc>
        <w:tc>
          <w:tcPr>
            <w:tcW w:w="2225"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w:t>
            </w:r>
          </w:p>
        </w:tc>
        <w:tc>
          <w:tcPr>
            <w:tcW w:w="2128" w:type="dxa"/>
            <w:vMerge w:val="continue"/>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8"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电磁辐射</w:t>
            </w:r>
          </w:p>
        </w:tc>
        <w:tc>
          <w:tcPr>
            <w:tcW w:w="1357"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w:t>
            </w:r>
          </w:p>
        </w:tc>
        <w:tc>
          <w:tcPr>
            <w:tcW w:w="1784"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w:t>
            </w:r>
          </w:p>
        </w:tc>
        <w:tc>
          <w:tcPr>
            <w:tcW w:w="2225"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w:t>
            </w:r>
          </w:p>
        </w:tc>
        <w:tc>
          <w:tcPr>
            <w:tcW w:w="2128"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8" w:type="dxa"/>
            <w:vMerge w:val="restart"/>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固体废物</w:t>
            </w:r>
          </w:p>
        </w:tc>
        <w:tc>
          <w:tcPr>
            <w:tcW w:w="1357"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生活垃圾</w:t>
            </w:r>
          </w:p>
        </w:tc>
        <w:tc>
          <w:tcPr>
            <w:tcW w:w="4009" w:type="dxa"/>
            <w:gridSpan w:val="2"/>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设置生活垃圾桶统一收集后交由当地环卫部门清运处理</w:t>
            </w:r>
          </w:p>
        </w:tc>
        <w:tc>
          <w:tcPr>
            <w:tcW w:w="2128" w:type="dxa"/>
            <w:vMerge w:val="restart"/>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《一般工业固体废物贮存和填埋污染控制标准》（GB18599-2020）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8" w:type="dxa"/>
            <w:vMerge w:val="continue"/>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p>
        </w:tc>
        <w:tc>
          <w:tcPr>
            <w:tcW w:w="1357"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化粪池污泥</w:t>
            </w:r>
          </w:p>
        </w:tc>
        <w:tc>
          <w:tcPr>
            <w:tcW w:w="4009" w:type="dxa"/>
            <w:gridSpan w:val="2"/>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定期清掏后，交由当地环卫部门清运处理</w:t>
            </w:r>
          </w:p>
        </w:tc>
        <w:tc>
          <w:tcPr>
            <w:tcW w:w="2128" w:type="dxa"/>
            <w:vMerge w:val="continue"/>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8" w:type="dxa"/>
            <w:vMerge w:val="continue"/>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p>
        </w:tc>
        <w:tc>
          <w:tcPr>
            <w:tcW w:w="1357"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锅炉炉渣</w:t>
            </w:r>
            <w:r>
              <w:rPr>
                <w:rFonts w:hint="eastAsia" w:ascii="Times New Roman" w:hAnsi="Times New Roman" w:eastAsia="宋体" w:cs="Times New Roman"/>
                <w:color w:val="auto"/>
                <w:sz w:val="24"/>
                <w:szCs w:val="24"/>
                <w:vertAlign w:val="baseline"/>
                <w:lang w:val="en-US" w:eastAsia="zh-CN"/>
              </w:rPr>
              <w:t>、水膜除尘器烟尘</w:t>
            </w:r>
          </w:p>
        </w:tc>
        <w:tc>
          <w:tcPr>
            <w:tcW w:w="4009" w:type="dxa"/>
            <w:gridSpan w:val="2"/>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周边农户清运</w:t>
            </w:r>
          </w:p>
        </w:tc>
        <w:tc>
          <w:tcPr>
            <w:tcW w:w="2128" w:type="dxa"/>
            <w:vMerge w:val="continue"/>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8" w:type="dxa"/>
            <w:vMerge w:val="continue"/>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p>
        </w:tc>
        <w:tc>
          <w:tcPr>
            <w:tcW w:w="1357"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包装废料</w:t>
            </w:r>
          </w:p>
        </w:tc>
        <w:tc>
          <w:tcPr>
            <w:tcW w:w="4009" w:type="dxa"/>
            <w:gridSpan w:val="2"/>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统一回收外卖</w:t>
            </w:r>
          </w:p>
        </w:tc>
        <w:tc>
          <w:tcPr>
            <w:tcW w:w="2128" w:type="dxa"/>
            <w:vMerge w:val="continue"/>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8" w:type="dxa"/>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土壤及地下水污染防治措施</w:t>
            </w:r>
          </w:p>
        </w:tc>
        <w:tc>
          <w:tcPr>
            <w:tcW w:w="7494" w:type="dxa"/>
            <w:gridSpan w:val="4"/>
            <w:vAlign w:val="center"/>
          </w:tcPr>
          <w:p>
            <w:pPr>
              <w:numPr>
                <w:ilvl w:val="0"/>
                <w:numId w:val="0"/>
              </w:num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车间及污水</w:t>
            </w:r>
            <w:r>
              <w:rPr>
                <w:rFonts w:hint="eastAsia" w:ascii="Times New Roman" w:hAnsi="Times New Roman" w:eastAsia="宋体" w:cs="Times New Roman"/>
                <w:color w:val="auto"/>
                <w:sz w:val="24"/>
                <w:szCs w:val="24"/>
                <w:vertAlign w:val="baseline"/>
                <w:lang w:val="en-US" w:eastAsia="zh-CN"/>
              </w:rPr>
              <w:t>处理设施</w:t>
            </w:r>
            <w:r>
              <w:rPr>
                <w:rFonts w:hint="default" w:ascii="Times New Roman" w:hAnsi="Times New Roman" w:eastAsia="宋体" w:cs="Times New Roman"/>
                <w:color w:val="auto"/>
                <w:sz w:val="24"/>
                <w:szCs w:val="24"/>
                <w:vertAlign w:val="baseline"/>
                <w:lang w:val="en-US" w:eastAsia="zh-CN"/>
              </w:rPr>
              <w:t>地面进行硬化处理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8" w:type="dxa"/>
          </w:tcPr>
          <w:p>
            <w:pPr>
              <w:numPr>
                <w:ilvl w:val="0"/>
                <w:numId w:val="0"/>
              </w:numP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生态保护措施</w:t>
            </w:r>
          </w:p>
        </w:tc>
        <w:tc>
          <w:tcPr>
            <w:tcW w:w="7494" w:type="dxa"/>
            <w:gridSpan w:val="4"/>
          </w:tcPr>
          <w:p>
            <w:pPr>
              <w:numPr>
                <w:ilvl w:val="0"/>
                <w:numId w:val="0"/>
              </w:numP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加强废气治理，定期进行</w:t>
            </w:r>
            <w:r>
              <w:rPr>
                <w:rFonts w:hint="eastAsia" w:ascii="Times New Roman" w:hAnsi="Times New Roman" w:eastAsia="宋体" w:cs="Times New Roman"/>
                <w:color w:val="auto"/>
                <w:sz w:val="24"/>
                <w:szCs w:val="24"/>
                <w:vertAlign w:val="baseline"/>
                <w:lang w:val="en-US" w:eastAsia="zh-CN"/>
              </w:rPr>
              <w:t>水膜</w:t>
            </w:r>
            <w:r>
              <w:rPr>
                <w:rFonts w:hint="default" w:ascii="Times New Roman" w:hAnsi="Times New Roman" w:eastAsia="宋体" w:cs="Times New Roman"/>
                <w:color w:val="auto"/>
                <w:sz w:val="24"/>
                <w:szCs w:val="24"/>
                <w:vertAlign w:val="baseline"/>
                <w:lang w:val="en-US" w:eastAsia="zh-CN"/>
              </w:rPr>
              <w:t>除尘设施维护，强化废水处理设施，按要求对</w:t>
            </w:r>
            <w:r>
              <w:rPr>
                <w:rFonts w:hint="eastAsia" w:ascii="Times New Roman" w:hAnsi="Times New Roman" w:eastAsia="宋体" w:cs="Times New Roman"/>
                <w:color w:val="auto"/>
                <w:sz w:val="24"/>
                <w:szCs w:val="24"/>
                <w:vertAlign w:val="baseline"/>
                <w:lang w:val="en-US" w:eastAsia="zh-CN"/>
              </w:rPr>
              <w:t>化粪池</w:t>
            </w:r>
            <w:r>
              <w:rPr>
                <w:rFonts w:hint="default" w:ascii="Times New Roman" w:hAnsi="Times New Roman" w:eastAsia="宋体" w:cs="Times New Roman"/>
                <w:color w:val="auto"/>
                <w:sz w:val="24"/>
                <w:szCs w:val="24"/>
                <w:vertAlign w:val="baseline"/>
                <w:lang w:val="en-US" w:eastAsia="zh-CN"/>
              </w:rPr>
              <w:t>出水水质进行监测，避免不达标废水排入市政污水管网。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8" w:type="dxa"/>
          </w:tcPr>
          <w:p>
            <w:pPr>
              <w:numPr>
                <w:ilvl w:val="0"/>
                <w:numId w:val="0"/>
              </w:numP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环境风险防范措施</w:t>
            </w:r>
          </w:p>
        </w:tc>
        <w:tc>
          <w:tcPr>
            <w:tcW w:w="7494" w:type="dxa"/>
            <w:gridSpan w:val="4"/>
          </w:tcPr>
          <w:p>
            <w:pPr>
              <w:numPr>
                <w:ilvl w:val="0"/>
                <w:numId w:val="0"/>
              </w:numP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加强电气防火安全管理，消除火灾隐患；定期对操作人员进行安全生产与安全知识培训；制定火灾应急预案，并报上级主管部门备案，并定期演练；运营期除定期检查</w:t>
            </w:r>
            <w:r>
              <w:rPr>
                <w:rFonts w:hint="eastAsia" w:ascii="Times New Roman" w:hAnsi="Times New Roman" w:eastAsia="宋体" w:cs="Times New Roman"/>
                <w:color w:val="auto"/>
                <w:sz w:val="24"/>
                <w:szCs w:val="24"/>
                <w:vertAlign w:val="baseline"/>
                <w:lang w:val="en-US" w:eastAsia="zh-CN"/>
              </w:rPr>
              <w:t>化粪池</w:t>
            </w:r>
            <w:r>
              <w:rPr>
                <w:rFonts w:hint="default" w:ascii="Times New Roman" w:hAnsi="Times New Roman" w:eastAsia="宋体" w:cs="Times New Roman"/>
                <w:color w:val="auto"/>
                <w:sz w:val="24"/>
                <w:szCs w:val="24"/>
                <w:vertAlign w:val="baseline"/>
                <w:lang w:val="en-US" w:eastAsia="zh-CN"/>
              </w:rPr>
              <w:t>是否发生泄漏</w:t>
            </w:r>
            <w:r>
              <w:rPr>
                <w:rFonts w:hint="eastAsia" w:ascii="Times New Roman" w:hAnsi="Times New Roman" w:eastAsia="宋体" w:cs="Times New Roman"/>
                <w:color w:val="auto"/>
                <w:sz w:val="24"/>
                <w:szCs w:val="24"/>
                <w:vertAlign w:val="baseline"/>
                <w:lang w:val="en-US" w:eastAsia="zh-CN"/>
              </w:rPr>
              <w:t>、化粪池是否正常运行</w:t>
            </w:r>
            <w:r>
              <w:rPr>
                <w:rFonts w:hint="default" w:ascii="Times New Roman" w:hAnsi="Times New Roman" w:eastAsia="宋体" w:cs="Times New Roman"/>
                <w:color w:val="auto"/>
                <w:sz w:val="24"/>
                <w:szCs w:val="24"/>
                <w:vertAlign w:val="baseline"/>
                <w:lang w:val="en-US" w:eastAsia="zh-CN"/>
              </w:rPr>
              <w:t>，还应对</w:t>
            </w:r>
            <w:r>
              <w:rPr>
                <w:rFonts w:hint="eastAsia" w:ascii="Times New Roman" w:hAnsi="Times New Roman" w:eastAsia="宋体" w:cs="Times New Roman"/>
                <w:color w:val="auto"/>
                <w:sz w:val="24"/>
                <w:szCs w:val="24"/>
                <w:vertAlign w:val="baseline"/>
                <w:lang w:val="en-US" w:eastAsia="zh-CN"/>
              </w:rPr>
              <w:t>化粪池</w:t>
            </w:r>
            <w:r>
              <w:rPr>
                <w:rFonts w:hint="default" w:ascii="Times New Roman" w:hAnsi="Times New Roman" w:eastAsia="宋体" w:cs="Times New Roman"/>
                <w:color w:val="auto"/>
                <w:sz w:val="24"/>
                <w:szCs w:val="24"/>
                <w:vertAlign w:val="baseline"/>
                <w:lang w:val="en-US" w:eastAsia="zh-CN"/>
              </w:rPr>
              <w:t>进行水泥</w:t>
            </w:r>
            <w:r>
              <w:rPr>
                <w:rFonts w:hint="eastAsia" w:ascii="Times New Roman" w:hAnsi="Times New Roman" w:eastAsia="宋体" w:cs="Times New Roman"/>
                <w:color w:val="auto"/>
                <w:sz w:val="24"/>
                <w:szCs w:val="24"/>
                <w:vertAlign w:val="baseline"/>
                <w:lang w:val="en-US" w:eastAsia="zh-CN"/>
              </w:rPr>
              <w:t>防渗</w:t>
            </w:r>
            <w:r>
              <w:rPr>
                <w:rFonts w:hint="default" w:ascii="Times New Roman" w:hAnsi="Times New Roman" w:eastAsia="宋体" w:cs="Times New Roman"/>
                <w:color w:val="auto"/>
                <w:sz w:val="24"/>
                <w:szCs w:val="24"/>
                <w:vertAlign w:val="baseline"/>
                <w:lang w:val="en-US" w:eastAsia="zh-CN"/>
              </w:rPr>
              <w:t>处理</w:t>
            </w:r>
            <w:r>
              <w:rPr>
                <w:rFonts w:hint="eastAsia" w:ascii="Times New Roman" w:hAnsi="Times New Roman" w:eastAsia="宋体" w:cs="Times New Roman"/>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8" w:type="dxa"/>
          </w:tcPr>
          <w:p>
            <w:pPr>
              <w:numPr>
                <w:ilvl w:val="0"/>
                <w:numId w:val="0"/>
              </w:numP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其他环境管理要求</w:t>
            </w:r>
          </w:p>
        </w:tc>
        <w:tc>
          <w:tcPr>
            <w:tcW w:w="7494" w:type="dxa"/>
            <w:gridSpan w:val="4"/>
          </w:tcPr>
          <w:p>
            <w:pPr>
              <w:numPr>
                <w:ilvl w:val="0"/>
                <w:numId w:val="27"/>
              </w:numP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排污口规范化管理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排污口是拟建项目投产后污染物进入环境、对环境产生影响的通道，强化排污口的管理是实施污染物总量控制的基础工作之一，也是区域环境</w:t>
            </w:r>
            <w:r>
              <w:rPr>
                <w:rFonts w:hint="default" w:ascii="Times New Roman" w:hAnsi="Times New Roman" w:eastAsia="宋体" w:cs="Times New Roman"/>
                <w:color w:val="auto"/>
                <w:sz w:val="24"/>
                <w:szCs w:val="24"/>
              </w:rPr>
              <w:t>管理逐步实现污染物排放科学化、定量化的重要手段。本次评价建议企业按照以下原则及要求对厂内各排污口进行规范化管理。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1、排污口规范化管理的基本原则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（1）向环境排放污染物的排污口必须规范化；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（2）排污口应便于采样与计量检测，便于日常现场监督检查。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2、排污口的技术要求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（1）排污口的设置必须合理确定，按照要求，进行规范化管理。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（2）设置规范的、便于测量流量、流速的测速段。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3、排污口立标管理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（1）污染物排放口，应按国家《环境保护图形标志》（15562.1-1995）的规定，设置国家环保总局统一制作的环境保护图形标志牌；排放口图形标志牌见下图。</w:t>
            </w:r>
          </w:p>
          <w:p>
            <w:pPr>
              <w:bidi w:val="0"/>
              <w:spacing w:line="360" w:lineRule="auto"/>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z w:val="21"/>
                <w:szCs w:val="21"/>
                <w:lang w:val="en-US" w:eastAsia="zh-CN"/>
              </w:rPr>
              <w:t xml:space="preserve">5-1  </w:t>
            </w:r>
            <w:r>
              <w:rPr>
                <w:rFonts w:hint="default" w:ascii="Times New Roman" w:hAnsi="Times New Roman" w:eastAsia="宋体" w:cs="Times New Roman"/>
                <w:b/>
                <w:bCs/>
                <w:color w:val="auto"/>
                <w:sz w:val="21"/>
                <w:szCs w:val="21"/>
              </w:rPr>
              <w:t xml:space="preserve"> 环境保护图形标志-排放口（源）</w:t>
            </w:r>
          </w:p>
          <w:tbl>
            <w:tblPr>
              <w:tblStyle w:val="7"/>
              <w:tblW w:w="7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802"/>
              <w:gridCol w:w="2016"/>
              <w:gridCol w:w="140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noWrap w:val="0"/>
                  <w:vAlign w:val="center"/>
                </w:tcPr>
                <w:p>
                  <w:pPr>
                    <w:bidi w:val="0"/>
                    <w:spacing w:line="24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序号</w:t>
                  </w:r>
                </w:p>
              </w:tc>
              <w:tc>
                <w:tcPr>
                  <w:tcW w:w="1802" w:type="dxa"/>
                  <w:noWrap w:val="0"/>
                  <w:vAlign w:val="center"/>
                </w:tcPr>
                <w:p>
                  <w:pPr>
                    <w:bidi w:val="0"/>
                    <w:spacing w:line="24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提示图形符号</w:t>
                  </w:r>
                </w:p>
              </w:tc>
              <w:tc>
                <w:tcPr>
                  <w:tcW w:w="2016" w:type="dxa"/>
                  <w:noWrap w:val="0"/>
                  <w:vAlign w:val="center"/>
                </w:tcPr>
                <w:p>
                  <w:pPr>
                    <w:bidi w:val="0"/>
                    <w:spacing w:line="24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警告图形符号</w:t>
                  </w:r>
                </w:p>
              </w:tc>
              <w:tc>
                <w:tcPr>
                  <w:tcW w:w="1403" w:type="dxa"/>
                  <w:noWrap w:val="0"/>
                  <w:vAlign w:val="center"/>
                </w:tcPr>
                <w:p>
                  <w:pPr>
                    <w:bidi w:val="0"/>
                    <w:spacing w:line="24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名称</w:t>
                  </w:r>
                </w:p>
              </w:tc>
              <w:tc>
                <w:tcPr>
                  <w:tcW w:w="1404" w:type="dxa"/>
                  <w:noWrap w:val="0"/>
                  <w:vAlign w:val="center"/>
                </w:tcPr>
                <w:p>
                  <w:pPr>
                    <w:bidi w:val="0"/>
                    <w:spacing w:line="24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noWrap w:val="0"/>
                  <w:vAlign w:val="center"/>
                </w:tcPr>
                <w:p>
                  <w:pPr>
                    <w:bidi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p>
              </w:tc>
              <w:tc>
                <w:tcPr>
                  <w:tcW w:w="1802" w:type="dxa"/>
                  <w:noWrap w:val="0"/>
                  <w:vAlign w:val="center"/>
                </w:tcPr>
                <w:p>
                  <w:pPr>
                    <w:bidi w:val="0"/>
                    <w:spacing w:line="24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drawing>
                      <wp:inline distT="0" distB="0" distL="114300" distR="114300">
                        <wp:extent cx="923925" cy="952500"/>
                        <wp:effectExtent l="0" t="0" r="9525" b="0"/>
                        <wp:docPr id="23" name="图片 1" descr="16294306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1629430633(1)"/>
                                <pic:cNvPicPr>
                                  <a:picLocks noChangeAspect="1"/>
                                </pic:cNvPicPr>
                              </pic:nvPicPr>
                              <pic:blipFill>
                                <a:blip r:embed="rId9"/>
                                <a:stretch>
                                  <a:fillRect/>
                                </a:stretch>
                              </pic:blipFill>
                              <pic:spPr>
                                <a:xfrm>
                                  <a:off x="0" y="0"/>
                                  <a:ext cx="923925" cy="952500"/>
                                </a:xfrm>
                                <a:prstGeom prst="rect">
                                  <a:avLst/>
                                </a:prstGeom>
                                <a:noFill/>
                                <a:ln>
                                  <a:noFill/>
                                </a:ln>
                              </pic:spPr>
                            </pic:pic>
                          </a:graphicData>
                        </a:graphic>
                      </wp:inline>
                    </w:drawing>
                  </w:r>
                </w:p>
              </w:tc>
              <w:tc>
                <w:tcPr>
                  <w:tcW w:w="2016" w:type="dxa"/>
                  <w:noWrap w:val="0"/>
                  <w:vAlign w:val="center"/>
                </w:tcPr>
                <w:p>
                  <w:pPr>
                    <w:bidi w:val="0"/>
                    <w:spacing w:line="24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drawing>
                      <wp:inline distT="0" distB="0" distL="114300" distR="114300">
                        <wp:extent cx="1123950" cy="981075"/>
                        <wp:effectExtent l="0" t="0" r="0" b="9525"/>
                        <wp:docPr id="54" name="图片 2" descr="16294306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 descr="1629430659(1)"/>
                                <pic:cNvPicPr>
                                  <a:picLocks noChangeAspect="1"/>
                                </pic:cNvPicPr>
                              </pic:nvPicPr>
                              <pic:blipFill>
                                <a:blip r:embed="rId10"/>
                                <a:stretch>
                                  <a:fillRect/>
                                </a:stretch>
                              </pic:blipFill>
                              <pic:spPr>
                                <a:xfrm>
                                  <a:off x="0" y="0"/>
                                  <a:ext cx="1123950" cy="981075"/>
                                </a:xfrm>
                                <a:prstGeom prst="rect">
                                  <a:avLst/>
                                </a:prstGeom>
                                <a:noFill/>
                                <a:ln>
                                  <a:noFill/>
                                </a:ln>
                              </pic:spPr>
                            </pic:pic>
                          </a:graphicData>
                        </a:graphic>
                      </wp:inline>
                    </w:drawing>
                  </w:r>
                </w:p>
              </w:tc>
              <w:tc>
                <w:tcPr>
                  <w:tcW w:w="1403" w:type="dxa"/>
                  <w:noWrap w:val="0"/>
                  <w:vAlign w:val="center"/>
                </w:tcPr>
                <w:p>
                  <w:pPr>
                    <w:bidi w:val="0"/>
                    <w:spacing w:line="24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废气排放口</w:t>
                  </w:r>
                </w:p>
              </w:tc>
              <w:tc>
                <w:tcPr>
                  <w:tcW w:w="1404" w:type="dxa"/>
                  <w:noWrap w:val="0"/>
                  <w:vAlign w:val="center"/>
                </w:tcPr>
                <w:p>
                  <w:pPr>
                    <w:bidi w:val="0"/>
                    <w:spacing w:line="24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表示废气向大气环境排放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noWrap w:val="0"/>
                  <w:vAlign w:val="center"/>
                </w:tcPr>
                <w:p>
                  <w:pPr>
                    <w:bidi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p>
              </w:tc>
              <w:tc>
                <w:tcPr>
                  <w:tcW w:w="1802" w:type="dxa"/>
                  <w:noWrap w:val="0"/>
                  <w:vAlign w:val="center"/>
                </w:tcPr>
                <w:p>
                  <w:pPr>
                    <w:bidi w:val="0"/>
                    <w:spacing w:line="240" w:lineRule="auto"/>
                    <w:jc w:val="center"/>
                    <w:rPr>
                      <w:rFonts w:hint="default" w:ascii="Times New Roman" w:hAnsi="Times New Roman" w:eastAsia="宋体" w:cs="Times New Roman"/>
                      <w:color w:val="auto"/>
                      <w:sz w:val="24"/>
                      <w:szCs w:val="24"/>
                      <w:lang w:eastAsia="zh-CN"/>
                    </w:rPr>
                  </w:pPr>
                  <w:r>
                    <w:rPr>
                      <w:color w:val="auto"/>
                    </w:rPr>
                    <w:drawing>
                      <wp:inline distT="0" distB="0" distL="114300" distR="114300">
                        <wp:extent cx="993140" cy="956310"/>
                        <wp:effectExtent l="0" t="0" r="16510" b="15240"/>
                        <wp:docPr id="25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3"/>
                                <pic:cNvPicPr>
                                  <a:picLocks noChangeAspect="1"/>
                                </pic:cNvPicPr>
                              </pic:nvPicPr>
                              <pic:blipFill>
                                <a:blip r:embed="rId11"/>
                                <a:stretch>
                                  <a:fillRect/>
                                </a:stretch>
                              </pic:blipFill>
                              <pic:spPr>
                                <a:xfrm>
                                  <a:off x="0" y="0"/>
                                  <a:ext cx="993140" cy="956310"/>
                                </a:xfrm>
                                <a:prstGeom prst="rect">
                                  <a:avLst/>
                                </a:prstGeom>
                                <a:noFill/>
                                <a:ln>
                                  <a:noFill/>
                                </a:ln>
                              </pic:spPr>
                            </pic:pic>
                          </a:graphicData>
                        </a:graphic>
                      </wp:inline>
                    </w:drawing>
                  </w:r>
                </w:p>
              </w:tc>
              <w:tc>
                <w:tcPr>
                  <w:tcW w:w="2016" w:type="dxa"/>
                  <w:noWrap w:val="0"/>
                  <w:vAlign w:val="center"/>
                </w:tcPr>
                <w:p>
                  <w:pPr>
                    <w:bidi w:val="0"/>
                    <w:spacing w:line="240" w:lineRule="auto"/>
                    <w:jc w:val="center"/>
                    <w:rPr>
                      <w:rFonts w:hint="default" w:ascii="Times New Roman" w:hAnsi="Times New Roman" w:eastAsia="宋体" w:cs="Times New Roman"/>
                      <w:color w:val="auto"/>
                      <w:sz w:val="24"/>
                      <w:szCs w:val="24"/>
                      <w:lang w:eastAsia="zh-CN"/>
                    </w:rPr>
                  </w:pPr>
                  <w:r>
                    <w:rPr>
                      <w:color w:val="auto"/>
                    </w:rPr>
                    <w:drawing>
                      <wp:inline distT="0" distB="0" distL="114300" distR="114300">
                        <wp:extent cx="1078865" cy="961390"/>
                        <wp:effectExtent l="0" t="0" r="6985" b="10160"/>
                        <wp:docPr id="25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5"/>
                                <pic:cNvPicPr>
                                  <a:picLocks noChangeAspect="1"/>
                                </pic:cNvPicPr>
                              </pic:nvPicPr>
                              <pic:blipFill>
                                <a:blip r:embed="rId12"/>
                                <a:stretch>
                                  <a:fillRect/>
                                </a:stretch>
                              </pic:blipFill>
                              <pic:spPr>
                                <a:xfrm>
                                  <a:off x="0" y="0"/>
                                  <a:ext cx="1078865" cy="961390"/>
                                </a:xfrm>
                                <a:prstGeom prst="rect">
                                  <a:avLst/>
                                </a:prstGeom>
                                <a:noFill/>
                                <a:ln>
                                  <a:noFill/>
                                </a:ln>
                              </pic:spPr>
                            </pic:pic>
                          </a:graphicData>
                        </a:graphic>
                      </wp:inline>
                    </w:drawing>
                  </w:r>
                </w:p>
              </w:tc>
              <w:tc>
                <w:tcPr>
                  <w:tcW w:w="1403" w:type="dxa"/>
                  <w:noWrap w:val="0"/>
                  <w:vAlign w:val="center"/>
                </w:tcPr>
                <w:p>
                  <w:pPr>
                    <w:bidi w:val="0"/>
                    <w:spacing w:line="24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废水排放口</w:t>
                  </w:r>
                </w:p>
              </w:tc>
              <w:tc>
                <w:tcPr>
                  <w:tcW w:w="1404" w:type="dxa"/>
                  <w:noWrap w:val="0"/>
                  <w:vAlign w:val="center"/>
                </w:tcPr>
                <w:p>
                  <w:pPr>
                    <w:bidi w:val="0"/>
                    <w:spacing w:line="24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标识废水向外环境排放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noWrap w:val="0"/>
                  <w:vAlign w:val="center"/>
                </w:tcPr>
                <w:p>
                  <w:pPr>
                    <w:bidi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w:t>
                  </w:r>
                </w:p>
              </w:tc>
              <w:tc>
                <w:tcPr>
                  <w:tcW w:w="1802" w:type="dxa"/>
                  <w:noWrap w:val="0"/>
                  <w:vAlign w:val="center"/>
                </w:tcPr>
                <w:p>
                  <w:pPr>
                    <w:bidi w:val="0"/>
                    <w:spacing w:line="24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drawing>
                      <wp:inline distT="0" distB="0" distL="114300" distR="114300">
                        <wp:extent cx="952500" cy="952500"/>
                        <wp:effectExtent l="0" t="0" r="0" b="0"/>
                        <wp:docPr id="56" name="图片 3" descr="1629773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 descr="1629773237(1)"/>
                                <pic:cNvPicPr>
                                  <a:picLocks noChangeAspect="1"/>
                                </pic:cNvPicPr>
                              </pic:nvPicPr>
                              <pic:blipFill>
                                <a:blip r:embed="rId13"/>
                                <a:stretch>
                                  <a:fillRect/>
                                </a:stretch>
                              </pic:blipFill>
                              <pic:spPr>
                                <a:xfrm>
                                  <a:off x="0" y="0"/>
                                  <a:ext cx="952500" cy="952500"/>
                                </a:xfrm>
                                <a:prstGeom prst="rect">
                                  <a:avLst/>
                                </a:prstGeom>
                                <a:noFill/>
                                <a:ln>
                                  <a:noFill/>
                                </a:ln>
                              </pic:spPr>
                            </pic:pic>
                          </a:graphicData>
                        </a:graphic>
                      </wp:inline>
                    </w:drawing>
                  </w:r>
                </w:p>
              </w:tc>
              <w:tc>
                <w:tcPr>
                  <w:tcW w:w="2016" w:type="dxa"/>
                  <w:noWrap w:val="0"/>
                  <w:vAlign w:val="center"/>
                </w:tcPr>
                <w:p>
                  <w:pPr>
                    <w:bidi w:val="0"/>
                    <w:spacing w:line="24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drawing>
                      <wp:inline distT="0" distB="0" distL="114300" distR="114300">
                        <wp:extent cx="1047750" cy="933450"/>
                        <wp:effectExtent l="0" t="0" r="0" b="0"/>
                        <wp:docPr id="57" name="图片 4" descr="16297732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 descr="1629773262(1)"/>
                                <pic:cNvPicPr>
                                  <a:picLocks noChangeAspect="1"/>
                                </pic:cNvPicPr>
                              </pic:nvPicPr>
                              <pic:blipFill>
                                <a:blip r:embed="rId14"/>
                                <a:stretch>
                                  <a:fillRect/>
                                </a:stretch>
                              </pic:blipFill>
                              <pic:spPr>
                                <a:xfrm>
                                  <a:off x="0" y="0"/>
                                  <a:ext cx="1047750" cy="933450"/>
                                </a:xfrm>
                                <a:prstGeom prst="rect">
                                  <a:avLst/>
                                </a:prstGeom>
                                <a:noFill/>
                                <a:ln>
                                  <a:noFill/>
                                </a:ln>
                              </pic:spPr>
                            </pic:pic>
                          </a:graphicData>
                        </a:graphic>
                      </wp:inline>
                    </w:drawing>
                  </w:r>
                </w:p>
              </w:tc>
              <w:tc>
                <w:tcPr>
                  <w:tcW w:w="1403" w:type="dxa"/>
                  <w:noWrap w:val="0"/>
                  <w:vAlign w:val="center"/>
                </w:tcPr>
                <w:p>
                  <w:pPr>
                    <w:bidi w:val="0"/>
                    <w:spacing w:line="24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噪声排放源</w:t>
                  </w:r>
                </w:p>
              </w:tc>
              <w:tc>
                <w:tcPr>
                  <w:tcW w:w="1404" w:type="dxa"/>
                  <w:noWrap w:val="0"/>
                  <w:vAlign w:val="center"/>
                </w:tcPr>
                <w:p>
                  <w:pPr>
                    <w:bidi w:val="0"/>
                    <w:spacing w:line="24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表示噪声向外环境排放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9" w:type="dxa"/>
                  <w:noWrap w:val="0"/>
                  <w:vAlign w:val="center"/>
                </w:tcPr>
                <w:p>
                  <w:pPr>
                    <w:bidi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w:t>
                  </w:r>
                </w:p>
              </w:tc>
              <w:tc>
                <w:tcPr>
                  <w:tcW w:w="1802" w:type="dxa"/>
                  <w:noWrap w:val="0"/>
                  <w:vAlign w:val="center"/>
                </w:tcPr>
                <w:p>
                  <w:pPr>
                    <w:bidi w:val="0"/>
                    <w:spacing w:line="24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drawing>
                      <wp:inline distT="0" distB="0" distL="114300" distR="114300">
                        <wp:extent cx="990600" cy="952500"/>
                        <wp:effectExtent l="0" t="0" r="0" b="0"/>
                        <wp:docPr id="58" name="图片 5" descr="16297732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 descr="1629773296(1)"/>
                                <pic:cNvPicPr>
                                  <a:picLocks noChangeAspect="1"/>
                                </pic:cNvPicPr>
                              </pic:nvPicPr>
                              <pic:blipFill>
                                <a:blip r:embed="rId15"/>
                                <a:stretch>
                                  <a:fillRect/>
                                </a:stretch>
                              </pic:blipFill>
                              <pic:spPr>
                                <a:xfrm>
                                  <a:off x="0" y="0"/>
                                  <a:ext cx="990600" cy="952500"/>
                                </a:xfrm>
                                <a:prstGeom prst="rect">
                                  <a:avLst/>
                                </a:prstGeom>
                                <a:noFill/>
                                <a:ln>
                                  <a:noFill/>
                                </a:ln>
                              </pic:spPr>
                            </pic:pic>
                          </a:graphicData>
                        </a:graphic>
                      </wp:inline>
                    </w:drawing>
                  </w:r>
                </w:p>
              </w:tc>
              <w:tc>
                <w:tcPr>
                  <w:tcW w:w="2016" w:type="dxa"/>
                  <w:noWrap w:val="0"/>
                  <w:vAlign w:val="center"/>
                </w:tcPr>
                <w:p>
                  <w:pPr>
                    <w:bidi w:val="0"/>
                    <w:spacing w:line="240" w:lineRule="auto"/>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drawing>
                      <wp:inline distT="0" distB="0" distL="114300" distR="114300">
                        <wp:extent cx="952500" cy="923925"/>
                        <wp:effectExtent l="0" t="0" r="0" b="9525"/>
                        <wp:docPr id="59" name="图片 6" descr="1629773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 descr="1629773314(1)"/>
                                <pic:cNvPicPr>
                                  <a:picLocks noChangeAspect="1"/>
                                </pic:cNvPicPr>
                              </pic:nvPicPr>
                              <pic:blipFill>
                                <a:blip r:embed="rId16"/>
                                <a:stretch>
                                  <a:fillRect/>
                                </a:stretch>
                              </pic:blipFill>
                              <pic:spPr>
                                <a:xfrm>
                                  <a:off x="0" y="0"/>
                                  <a:ext cx="952500" cy="923925"/>
                                </a:xfrm>
                                <a:prstGeom prst="rect">
                                  <a:avLst/>
                                </a:prstGeom>
                                <a:noFill/>
                                <a:ln>
                                  <a:noFill/>
                                </a:ln>
                              </pic:spPr>
                            </pic:pic>
                          </a:graphicData>
                        </a:graphic>
                      </wp:inline>
                    </w:drawing>
                  </w:r>
                </w:p>
              </w:tc>
              <w:tc>
                <w:tcPr>
                  <w:tcW w:w="1403" w:type="dxa"/>
                  <w:noWrap w:val="0"/>
                  <w:vAlign w:val="center"/>
                </w:tcPr>
                <w:p>
                  <w:pPr>
                    <w:bidi w:val="0"/>
                    <w:spacing w:line="24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一般固体废物</w:t>
                  </w:r>
                </w:p>
              </w:tc>
              <w:tc>
                <w:tcPr>
                  <w:tcW w:w="1404" w:type="dxa"/>
                  <w:noWrap w:val="0"/>
                  <w:vAlign w:val="center"/>
                </w:tcPr>
                <w:p>
                  <w:pPr>
                    <w:bidi w:val="0"/>
                    <w:spacing w:line="24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表示一般固体废物贮存、处置场</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（2）污染物排放口的环境保护图形标志牌应设置在靠近采样点的醒目处，标志牌设置高度为其上缘距地面约 2m。排污口附近1米范围内有建筑物的，设平面式标志牌，无建筑物的设立式标志牌。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对各种固体废物应分别收集、贮存和运输。一般固废厂内暂存执行《一般工业固体废物贮存</w:t>
            </w:r>
            <w:r>
              <w:rPr>
                <w:rFonts w:hint="eastAsia" w:ascii="Times New Roman" w:hAnsi="Times New Roman" w:eastAsia="宋体" w:cs="Times New Roman"/>
                <w:color w:val="auto"/>
                <w:sz w:val="24"/>
                <w:szCs w:val="24"/>
                <w:lang w:eastAsia="zh-CN"/>
              </w:rPr>
              <w:t>和填埋污染控制标准</w:t>
            </w:r>
            <w:r>
              <w:rPr>
                <w:rFonts w:hint="default" w:ascii="Times New Roman" w:hAnsi="Times New Roman" w:eastAsia="宋体" w:cs="Times New Roman"/>
                <w:color w:val="auto"/>
                <w:sz w:val="24"/>
                <w:szCs w:val="24"/>
              </w:rPr>
              <w:t>》（GB</w:t>
            </w:r>
            <w:r>
              <w:rPr>
                <w:rFonts w:hint="eastAsia" w:ascii="Times New Roman" w:hAnsi="Times New Roman" w:eastAsia="宋体" w:cs="Times New Roman"/>
                <w:color w:val="auto"/>
                <w:sz w:val="24"/>
                <w:szCs w:val="24"/>
                <w:lang w:val="en-US" w:eastAsia="zh-CN"/>
              </w:rPr>
              <w:t>18599-2020</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 xml:space="preserve"> 危险废物厂内暂存执行《危险废物贮存污染控制标准》（GB18597-</w:t>
            </w:r>
            <w:r>
              <w:rPr>
                <w:rFonts w:hint="eastAsia" w:ascii="Times New Roman" w:hAnsi="Times New Roman" w:eastAsia="宋体" w:cs="Times New Roman"/>
                <w:color w:val="auto"/>
                <w:sz w:val="24"/>
                <w:szCs w:val="24"/>
                <w:lang w:val="en-US" w:eastAsia="zh-CN"/>
              </w:rPr>
              <w:t>2023</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（5）规范化排污口的有关设置（入图形标志牌、计量装置、监控装置等）属于环保设施，排污单位必须负责日常的维护保养，任何单位和个人不得擅自拆除。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4、排污口建档管理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（1）要求使用国家环保局统一印制的《中华人民共和国规范化排污口标志牌登记证》，并按要求填写有关内容。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（2）根据排污口管理档案内容要求，企业今后应将主要污染物种类、数量、浓度、排放去向、达标情况及设施运行情况记录于档案。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二、信息公示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企业按照《企业事业单位环境信息公开办法》和《环境信息公开办法（试行）》规定公开环境信息。排污单位自行监测信息公开内容及方式按照《企业事业单位环境信息 公开办法》（环境保护部令第 31 号）及《国家重点监控企业自行监测及信息公开办法（试 行）》（环发（2013）81 号）执行。非重点排污单位的信息公开要求由地方环境保护主管部门确定。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三、项目竣工环境保护验收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根据《排污许可管理办法（试行）》（2019年8月22日实施）规定，项目在环保主管部门下达环评批复后，建设单位应按照《排污许可证申请与核发技术规范》要求申请并取得排污许可证。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按国务院关于修改《建设项目环境保护管理条例》的决定（中华人民共和国国务院令第 682 号），编制环境影响报告表的建设项目竣工后，建设单位应当按照国务院环境保护行政主管部门规定的标准和程序，对配套建设的环境保护设施进行验收，编制验收报告。建设单位在环境保护设施验收过程中，应当如实查验、监测、记载建设项目环境保护设施的建设和调试情况，不得弄虚作假。除按照国家规定需要保密的情形外，建设单位应当依法向社会公开验收报告。建设项目环境保护竣工验收具体要求见《建设项目竣工环境保护验收暂行办法》（国环规环评[2017]4号），本项目以污染影响类为主，可参考生态环保部9号令《建设项目竣工环境保护验收技术指南 污染影响类》规定编制验收报告。项目环境保护竣工验收内容见下表。</w:t>
            </w:r>
          </w:p>
          <w:p>
            <w:pPr>
              <w:numPr>
                <w:ilvl w:val="0"/>
                <w:numId w:val="0"/>
              </w:numPr>
              <w:bidi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w:t>
            </w:r>
            <w:r>
              <w:rPr>
                <w:rFonts w:hint="eastAsia" w:ascii="Times New Roman" w:hAnsi="Times New Roman" w:eastAsia="宋体" w:cs="Times New Roman"/>
                <w:b/>
                <w:bCs/>
                <w:color w:val="auto"/>
                <w:sz w:val="21"/>
                <w:szCs w:val="21"/>
                <w:lang w:val="en-US" w:eastAsia="zh-CN"/>
              </w:rPr>
              <w:t>5-2</w:t>
            </w:r>
            <w:r>
              <w:rPr>
                <w:rFonts w:hint="default" w:ascii="Times New Roman" w:hAnsi="Times New Roman" w:eastAsia="宋体" w:cs="Times New Roman"/>
                <w:b/>
                <w:bCs/>
                <w:color w:val="auto"/>
                <w:sz w:val="21"/>
                <w:szCs w:val="21"/>
                <w:lang w:val="en-US" w:eastAsia="zh-CN"/>
              </w:rPr>
              <w:t xml:space="preserve">  项目环境保护竣工验收内容一览表</w:t>
            </w:r>
          </w:p>
          <w:tbl>
            <w:tblPr>
              <w:tblStyle w:val="7"/>
              <w:tblW w:w="7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914"/>
              <w:gridCol w:w="1938"/>
              <w:gridCol w:w="1654"/>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3"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类别</w:t>
                  </w:r>
                </w:p>
              </w:tc>
              <w:tc>
                <w:tcPr>
                  <w:tcW w:w="914"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产污环节</w:t>
                  </w:r>
                </w:p>
              </w:tc>
              <w:tc>
                <w:tcPr>
                  <w:tcW w:w="1938"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主要污染物</w:t>
                  </w:r>
                </w:p>
              </w:tc>
              <w:tc>
                <w:tcPr>
                  <w:tcW w:w="1654"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治理措施</w:t>
                  </w:r>
                </w:p>
              </w:tc>
              <w:tc>
                <w:tcPr>
                  <w:tcW w:w="1943" w:type="dxa"/>
                  <w:vAlign w:val="center"/>
                </w:tcPr>
                <w:p>
                  <w:pPr>
                    <w:bidi w:val="0"/>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3"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废气</w:t>
                  </w:r>
                </w:p>
              </w:tc>
              <w:tc>
                <w:tcPr>
                  <w:tcW w:w="91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锅炉</w:t>
                  </w:r>
                </w:p>
              </w:tc>
              <w:tc>
                <w:tcPr>
                  <w:tcW w:w="193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颗粒物、SO</w:t>
                  </w:r>
                  <w:r>
                    <w:rPr>
                      <w:rFonts w:hint="default" w:ascii="Times New Roman" w:hAnsi="Times New Roman" w:eastAsia="宋体" w:cs="Times New Roman"/>
                      <w:color w:val="auto"/>
                      <w:sz w:val="21"/>
                      <w:szCs w:val="21"/>
                      <w:vertAlign w:val="subscript"/>
                      <w:lang w:val="en-US" w:eastAsia="zh-CN"/>
                    </w:rPr>
                    <w:t>2</w:t>
                  </w:r>
                  <w:r>
                    <w:rPr>
                      <w:rFonts w:hint="default" w:ascii="Times New Roman" w:hAnsi="Times New Roman" w:eastAsia="宋体" w:cs="Times New Roman"/>
                      <w:color w:val="auto"/>
                      <w:sz w:val="21"/>
                      <w:szCs w:val="21"/>
                      <w:vertAlign w:val="baseline"/>
                      <w:lang w:val="en-US" w:eastAsia="zh-CN"/>
                    </w:rPr>
                    <w:t>、NOx、林格曼黑度</w:t>
                  </w:r>
                </w:p>
              </w:tc>
              <w:tc>
                <w:tcPr>
                  <w:tcW w:w="165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2套水膜</w:t>
                  </w:r>
                  <w:r>
                    <w:rPr>
                      <w:rFonts w:hint="default" w:ascii="Times New Roman" w:hAnsi="Times New Roman" w:eastAsia="宋体" w:cs="Times New Roman"/>
                      <w:color w:val="auto"/>
                      <w:sz w:val="21"/>
                      <w:szCs w:val="21"/>
                      <w:vertAlign w:val="baseline"/>
                      <w:lang w:val="en-US" w:eastAsia="zh-CN"/>
                    </w:rPr>
                    <w:t>除尘设施</w:t>
                  </w:r>
                  <w:r>
                    <w:rPr>
                      <w:rFonts w:hint="eastAsia" w:ascii="Times New Roman" w:hAnsi="Times New Roman" w:eastAsia="宋体" w:cs="Times New Roman"/>
                      <w:color w:val="auto"/>
                      <w:sz w:val="21"/>
                      <w:szCs w:val="21"/>
                      <w:vertAlign w:val="baseline"/>
                      <w:lang w:val="en-US" w:eastAsia="zh-CN"/>
                    </w:rPr>
                    <w:t>+1根30m高排气筒</w:t>
                  </w:r>
                </w:p>
              </w:tc>
              <w:tc>
                <w:tcPr>
                  <w:tcW w:w="1943"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《锅炉大气污染物排放标准》（GB13271-2014）</w:t>
                  </w:r>
                </w:p>
                <w:p>
                  <w:pPr>
                    <w:bidi w:val="0"/>
                    <w:jc w:val="center"/>
                    <w:rPr>
                      <w:rFonts w:hint="default" w:ascii="Times New Roman" w:hAnsi="Times New Roman" w:eastAsia="宋体"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3"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废水</w:t>
                  </w:r>
                </w:p>
              </w:tc>
              <w:tc>
                <w:tcPr>
                  <w:tcW w:w="91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洗涤、软水制备、锅炉</w:t>
                  </w:r>
                </w:p>
              </w:tc>
              <w:tc>
                <w:tcPr>
                  <w:tcW w:w="193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pH、COD、BOD</w:t>
                  </w:r>
                  <w:r>
                    <w:rPr>
                      <w:rFonts w:hint="default" w:ascii="Times New Roman" w:hAnsi="Times New Roman" w:eastAsia="宋体" w:cs="Times New Roman"/>
                      <w:color w:val="auto"/>
                      <w:sz w:val="21"/>
                      <w:szCs w:val="21"/>
                      <w:vertAlign w:val="subscript"/>
                      <w:lang w:val="en-US" w:eastAsia="zh-CN"/>
                    </w:rPr>
                    <w:t>5</w:t>
                  </w:r>
                  <w:r>
                    <w:rPr>
                      <w:rFonts w:hint="default" w:ascii="Times New Roman" w:hAnsi="Times New Roman" w:eastAsia="宋体" w:cs="Times New Roman"/>
                      <w:color w:val="auto"/>
                      <w:sz w:val="21"/>
                      <w:szCs w:val="21"/>
                      <w:vertAlign w:val="baseline"/>
                      <w:lang w:val="en-US" w:eastAsia="zh-CN"/>
                    </w:rPr>
                    <w:t>、SS、总磷、总氮、氨氮、LAS、动植物油</w:t>
                  </w:r>
                </w:p>
              </w:tc>
              <w:tc>
                <w:tcPr>
                  <w:tcW w:w="165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不低于80m³化粪池</w:t>
                  </w:r>
                </w:p>
              </w:tc>
              <w:tc>
                <w:tcPr>
                  <w:tcW w:w="1943"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lang w:val="en-US" w:eastAsia="zh-CN"/>
                    </w:rPr>
                    <w:t>《污水综合排放标准》（GB8978-1996）三级标准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3"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91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办公生活</w:t>
                  </w:r>
                </w:p>
              </w:tc>
              <w:tc>
                <w:tcPr>
                  <w:tcW w:w="193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pH、COD、BOD</w:t>
                  </w:r>
                  <w:r>
                    <w:rPr>
                      <w:rFonts w:hint="default" w:ascii="Times New Roman" w:hAnsi="Times New Roman" w:eastAsia="宋体" w:cs="Times New Roman"/>
                      <w:color w:val="auto"/>
                      <w:sz w:val="21"/>
                      <w:szCs w:val="21"/>
                      <w:vertAlign w:val="subscript"/>
                      <w:lang w:val="en-US" w:eastAsia="zh-CN"/>
                    </w:rPr>
                    <w:t>5</w:t>
                  </w:r>
                  <w:r>
                    <w:rPr>
                      <w:rFonts w:hint="default" w:ascii="Times New Roman" w:hAnsi="Times New Roman" w:eastAsia="宋体" w:cs="Times New Roman"/>
                      <w:color w:val="auto"/>
                      <w:sz w:val="21"/>
                      <w:szCs w:val="21"/>
                      <w:vertAlign w:val="baseline"/>
                      <w:lang w:val="en-US" w:eastAsia="zh-CN"/>
                    </w:rPr>
                    <w:t>、SS、总磷、总氮、氨氮、LAS、动植物油</w:t>
                  </w:r>
                </w:p>
              </w:tc>
              <w:tc>
                <w:tcPr>
                  <w:tcW w:w="165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4m³化粪池</w:t>
                  </w:r>
                </w:p>
              </w:tc>
              <w:tc>
                <w:tcPr>
                  <w:tcW w:w="1943"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3"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91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雨污分流系统</w:t>
                  </w:r>
                </w:p>
              </w:tc>
              <w:tc>
                <w:tcPr>
                  <w:tcW w:w="193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165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项目采用雨污分流，区内雨水经雨水管网排入周边沟渠</w:t>
                  </w:r>
                </w:p>
              </w:tc>
              <w:tc>
                <w:tcPr>
                  <w:tcW w:w="1943"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雨污分流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3"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噪声</w:t>
                  </w:r>
                </w:p>
              </w:tc>
              <w:tc>
                <w:tcPr>
                  <w:tcW w:w="91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设备噪声</w:t>
                  </w:r>
                </w:p>
              </w:tc>
              <w:tc>
                <w:tcPr>
                  <w:tcW w:w="193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噪声</w:t>
                  </w:r>
                </w:p>
              </w:tc>
              <w:tc>
                <w:tcPr>
                  <w:tcW w:w="165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隔声、减震等噪声控制措施</w:t>
                  </w:r>
                </w:p>
              </w:tc>
              <w:tc>
                <w:tcPr>
                  <w:tcW w:w="1943"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《工业企业厂界环境噪声排放标准》（GB12348-2008）2类，4</w:t>
                  </w:r>
                  <w:r>
                    <w:rPr>
                      <w:rFonts w:hint="eastAsia" w:ascii="Times New Roman" w:hAnsi="Times New Roman" w:eastAsia="宋体" w:cs="Times New Roman"/>
                      <w:color w:val="auto"/>
                      <w:sz w:val="21"/>
                      <w:szCs w:val="21"/>
                      <w:vertAlign w:val="baseline"/>
                      <w:lang w:val="en-US" w:eastAsia="zh-CN"/>
                    </w:rPr>
                    <w:t>a</w:t>
                  </w:r>
                  <w:r>
                    <w:rPr>
                      <w:rFonts w:hint="default" w:ascii="Times New Roman" w:hAnsi="Times New Roman" w:eastAsia="宋体" w:cs="Times New Roman"/>
                      <w:color w:val="auto"/>
                      <w:sz w:val="21"/>
                      <w:szCs w:val="21"/>
                      <w:vertAlign w:val="baseline"/>
                      <w:lang w:val="en-US" w:eastAsia="zh-CN"/>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3" w:type="dxa"/>
                  <w:vMerge w:val="restart"/>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固废</w:t>
                  </w:r>
                </w:p>
              </w:tc>
              <w:tc>
                <w:tcPr>
                  <w:tcW w:w="91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生活区</w:t>
                  </w:r>
                </w:p>
              </w:tc>
              <w:tc>
                <w:tcPr>
                  <w:tcW w:w="193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生活垃圾</w:t>
                  </w:r>
                </w:p>
              </w:tc>
              <w:tc>
                <w:tcPr>
                  <w:tcW w:w="165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垃圾桶</w:t>
                  </w:r>
                </w:p>
              </w:tc>
              <w:tc>
                <w:tcPr>
                  <w:tcW w:w="1943"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交由当地环卫部门清运处理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3" w:type="dxa"/>
                  <w:vMerge w:val="continue"/>
                  <w:vAlign w:val="center"/>
                </w:tcPr>
                <w:p>
                  <w:pPr>
                    <w:bidi w:val="0"/>
                    <w:jc w:val="center"/>
                    <w:rPr>
                      <w:rFonts w:hint="default" w:ascii="Times New Roman" w:hAnsi="Times New Roman" w:eastAsia="宋体" w:cs="Times New Roman"/>
                      <w:color w:val="auto"/>
                      <w:sz w:val="21"/>
                      <w:szCs w:val="21"/>
                      <w:vertAlign w:val="baseline"/>
                      <w:lang w:val="en-US" w:eastAsia="zh-CN"/>
                    </w:rPr>
                  </w:pPr>
                </w:p>
              </w:tc>
              <w:tc>
                <w:tcPr>
                  <w:tcW w:w="91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生产区</w:t>
                  </w:r>
                </w:p>
              </w:tc>
              <w:tc>
                <w:tcPr>
                  <w:tcW w:w="1938"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生产固废</w:t>
                  </w:r>
                </w:p>
              </w:tc>
              <w:tc>
                <w:tcPr>
                  <w:tcW w:w="1654"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暂存间</w:t>
                  </w:r>
                </w:p>
              </w:tc>
              <w:tc>
                <w:tcPr>
                  <w:tcW w:w="1943"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统一收集后，能综合利用的综合利用，能外卖的外卖，其余交由当地环卫部门清运处理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3"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生态</w:t>
                  </w:r>
                </w:p>
              </w:tc>
              <w:tc>
                <w:tcPr>
                  <w:tcW w:w="4506" w:type="dxa"/>
                  <w:gridSpan w:val="3"/>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项目绿化面积为</w:t>
                  </w:r>
                  <w:r>
                    <w:rPr>
                      <w:rFonts w:hint="eastAsia" w:ascii="Times New Roman" w:hAnsi="Times New Roman" w:eastAsia="宋体" w:cs="Times New Roman"/>
                      <w:color w:val="auto"/>
                      <w:sz w:val="21"/>
                      <w:szCs w:val="21"/>
                      <w:vertAlign w:val="baseline"/>
                      <w:lang w:val="en-US" w:eastAsia="zh-CN"/>
                    </w:rPr>
                    <w:t>40</w:t>
                  </w:r>
                  <w:r>
                    <w:rPr>
                      <w:rFonts w:hint="default" w:ascii="Times New Roman" w:hAnsi="Times New Roman" w:eastAsia="宋体" w:cs="Times New Roman"/>
                      <w:color w:val="auto"/>
                      <w:sz w:val="21"/>
                      <w:szCs w:val="21"/>
                      <w:vertAlign w:val="baseline"/>
                      <w:lang w:val="en-US" w:eastAsia="zh-CN"/>
                    </w:rPr>
                    <w:t>0m</w:t>
                  </w:r>
                  <w:r>
                    <w:rPr>
                      <w:rFonts w:hint="default" w:ascii="Times New Roman" w:hAnsi="Times New Roman" w:eastAsia="宋体" w:cs="Times New Roman"/>
                      <w:color w:val="auto"/>
                      <w:sz w:val="21"/>
                      <w:szCs w:val="21"/>
                      <w:vertAlign w:val="superscript"/>
                      <w:lang w:val="en-US" w:eastAsia="zh-CN"/>
                    </w:rPr>
                    <w:t>2</w:t>
                  </w:r>
                </w:p>
              </w:tc>
              <w:tc>
                <w:tcPr>
                  <w:tcW w:w="1943" w:type="dxa"/>
                  <w:vAlign w:val="center"/>
                </w:tcPr>
                <w:p>
                  <w:pPr>
                    <w:bidi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建设到位</w:t>
                  </w:r>
                </w:p>
              </w:tc>
            </w:tr>
          </w:tbl>
          <w:p>
            <w:pPr>
              <w:bidi w:val="0"/>
              <w:rPr>
                <w:rFonts w:hint="default" w:ascii="Times New Roman" w:hAnsi="Times New Roman" w:eastAsia="宋体" w:cs="Times New Roman"/>
                <w:color w:val="auto"/>
                <w:sz w:val="24"/>
                <w:szCs w:val="24"/>
                <w:lang w:val="en-US" w:eastAsia="zh-CN"/>
              </w:rPr>
            </w:pPr>
          </w:p>
        </w:tc>
      </w:tr>
    </w:tbl>
    <w:p>
      <w:pPr>
        <w:pStyle w:val="3"/>
        <w:numPr>
          <w:ilvl w:val="0"/>
          <w:numId w:val="26"/>
        </w:numPr>
        <w:bidi w:val="0"/>
        <w:rPr>
          <w:rFonts w:hint="eastAsia"/>
          <w:lang w:val="en-US" w:eastAsia="zh-CN"/>
        </w:rPr>
      </w:pPr>
      <w:r>
        <w:rPr>
          <w:rFonts w:hint="eastAsia"/>
          <w:lang w:val="en-US" w:eastAsia="zh-CN"/>
        </w:rPr>
        <w:t>结论</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评价结论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vertAlign w:val="baseline"/>
                <w:lang w:val="en-US" w:eastAsia="zh-CN"/>
              </w:rPr>
            </w:pPr>
            <w:r>
              <w:rPr>
                <w:rFonts w:hint="default" w:ascii="Times New Roman" w:hAnsi="Times New Roman" w:eastAsia="宋体" w:cs="Times New Roman"/>
                <w:sz w:val="24"/>
                <w:szCs w:val="24"/>
                <w:lang w:val="en-US" w:eastAsia="zh-CN"/>
              </w:rPr>
              <w:t>本项目符合国家产业政策、相关规划、三线一单控制要求、地方环保政策要求。项目不占用生态保护红线、各类自然保护地、基本农田、水源地等环境敏感区，无重大环境制约因素，选址合理。项目采用的技术成熟、可靠。项目在施工和运营过程中不可避免地对周围的环境空气、水环境、声环境等产生一定的影响，在严格执行有关环保法规和“三同时”制度，认真落实环评提出的污染防治措施后，产生废水、废气、噪声能达标排放，固废妥善处置；对当地大气环境、声环境、水环境等的影响很小，不会改变项目所在区域环境功能。从环保角度分析，项目建设是可行的。</w:t>
            </w:r>
          </w:p>
        </w:tc>
      </w:tr>
    </w:tbl>
    <w:p>
      <w:pPr>
        <w:numPr>
          <w:ilvl w:val="0"/>
          <w:numId w:val="0"/>
        </w:numPr>
        <w:bidi w:val="0"/>
        <w:rPr>
          <w:rFonts w:hint="default"/>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bidi w:val="0"/>
        <w:rPr>
          <w:sz w:val="36"/>
          <w:szCs w:val="36"/>
        </w:rPr>
      </w:pPr>
      <w:r>
        <w:rPr>
          <w:rFonts w:hint="eastAsia"/>
          <w:sz w:val="36"/>
          <w:szCs w:val="36"/>
        </w:rPr>
        <w:t>附表</w:t>
      </w:r>
    </w:p>
    <w:p>
      <w:pPr>
        <w:bidi w:val="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rPr>
        <w:t>建设项目污染物排放量汇总表</w:t>
      </w:r>
      <w:r>
        <w:rPr>
          <w:rFonts w:hint="eastAsia" w:ascii="宋体" w:hAnsi="宋体" w:eastAsia="宋体" w:cs="宋体"/>
          <w:b/>
          <w:bCs/>
          <w:sz w:val="36"/>
          <w:szCs w:val="36"/>
          <w:lang w:val="en-US" w:eastAsia="zh-CN"/>
        </w:rPr>
        <w:t xml:space="preserve">  单位t/a</w:t>
      </w:r>
    </w:p>
    <w:tbl>
      <w:tblPr>
        <w:tblStyle w:val="6"/>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25"/>
        <w:gridCol w:w="1693"/>
        <w:gridCol w:w="1276"/>
        <w:gridCol w:w="1701"/>
        <w:gridCol w:w="1559"/>
        <w:gridCol w:w="1761"/>
        <w:gridCol w:w="1519"/>
        <w:gridCol w:w="12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pPr>
              <w:pStyle w:val="9"/>
              <w:spacing w:beforeLines="0" w:afterLines="0" w:line="240" w:lineRule="auto"/>
              <w:jc w:val="right"/>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项目</w:t>
            </w:r>
          </w:p>
          <w:p>
            <w:pPr>
              <w:pStyle w:val="9"/>
              <w:spacing w:beforeLines="0" w:afterLines="0" w:line="240" w:lineRule="auto"/>
              <w:jc w:val="left"/>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分类</w:t>
            </w:r>
          </w:p>
        </w:tc>
        <w:tc>
          <w:tcPr>
            <w:tcW w:w="1425" w:type="dxa"/>
            <w:noWrap w:val="0"/>
            <w:tcMar>
              <w:left w:w="28" w:type="dxa"/>
              <w:right w:w="28" w:type="dxa"/>
            </w:tcMar>
            <w:vAlign w:val="center"/>
          </w:tcPr>
          <w:p>
            <w:pPr>
              <w:pStyle w:val="9"/>
              <w:spacing w:beforeLines="0" w:afterLines="0" w:line="240" w:lineRule="auto"/>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污染物名称</w:t>
            </w:r>
          </w:p>
        </w:tc>
        <w:tc>
          <w:tcPr>
            <w:tcW w:w="1693" w:type="dxa"/>
            <w:noWrap w:val="0"/>
            <w:tcMar>
              <w:left w:w="28" w:type="dxa"/>
              <w:right w:w="28" w:type="dxa"/>
            </w:tcMar>
            <w:vAlign w:val="center"/>
          </w:tcPr>
          <w:p>
            <w:pPr>
              <w:pStyle w:val="9"/>
              <w:spacing w:beforeLines="0" w:afterLines="0" w:line="240" w:lineRule="auto"/>
              <w:rPr>
                <w:rFonts w:hint="eastAsia"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pPr>
              <w:pStyle w:val="9"/>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1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color w:val="000000"/>
                <w:kern w:val="2"/>
                <w:szCs w:val="21"/>
              </w:rPr>
              <w:t>①</w:t>
            </w:r>
            <w:r>
              <w:rPr>
                <w:rFonts w:ascii="黑体" w:hAnsi="黑体" w:eastAsia="黑体"/>
                <w:snapToGrid w:val="0"/>
                <w:color w:val="000000"/>
                <w:spacing w:val="-6"/>
                <w:kern w:val="21"/>
                <w:szCs w:val="21"/>
              </w:rPr>
              <w:fldChar w:fldCharType="end"/>
            </w:r>
          </w:p>
        </w:tc>
        <w:tc>
          <w:tcPr>
            <w:tcW w:w="1276" w:type="dxa"/>
            <w:noWrap w:val="0"/>
            <w:tcMar>
              <w:left w:w="28" w:type="dxa"/>
              <w:right w:w="28" w:type="dxa"/>
            </w:tcMar>
            <w:vAlign w:val="center"/>
          </w:tcPr>
          <w:p>
            <w:pPr>
              <w:pStyle w:val="9"/>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pPr>
              <w:pStyle w:val="9"/>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许可排放量</w:t>
            </w:r>
          </w:p>
          <w:p>
            <w:pPr>
              <w:pStyle w:val="9"/>
              <w:spacing w:beforeLines="0" w:afterLines="0"/>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2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snapToGrid w:val="0"/>
                <w:color w:val="000000"/>
                <w:spacing w:val="-6"/>
                <w:kern w:val="21"/>
                <w:szCs w:val="21"/>
              </w:rPr>
              <w:t>②</w:t>
            </w:r>
            <w:r>
              <w:rPr>
                <w:rFonts w:ascii="黑体" w:hAnsi="黑体" w:eastAsia="黑体"/>
                <w:snapToGrid w:val="0"/>
                <w:color w:val="000000"/>
                <w:spacing w:val="-6"/>
                <w:kern w:val="21"/>
                <w:szCs w:val="21"/>
              </w:rPr>
              <w:fldChar w:fldCharType="end"/>
            </w:r>
          </w:p>
        </w:tc>
        <w:tc>
          <w:tcPr>
            <w:tcW w:w="1701" w:type="dxa"/>
            <w:noWrap w:val="0"/>
            <w:tcMar>
              <w:left w:w="28" w:type="dxa"/>
              <w:right w:w="28" w:type="dxa"/>
            </w:tcMar>
            <w:vAlign w:val="center"/>
          </w:tcPr>
          <w:p>
            <w:pPr>
              <w:pStyle w:val="9"/>
              <w:spacing w:beforeLines="0" w:afterLines="0" w:line="240" w:lineRule="auto"/>
              <w:rPr>
                <w:rFonts w:hint="eastAsia" w:ascii="黑体" w:hAnsi="黑体" w:eastAsia="黑体"/>
                <w:snapToGrid w:val="0"/>
                <w:color w:val="000000"/>
                <w:spacing w:val="-6"/>
                <w:kern w:val="21"/>
                <w:szCs w:val="21"/>
              </w:rPr>
            </w:pPr>
            <w:r>
              <w:rPr>
                <w:rFonts w:ascii="黑体" w:hAnsi="黑体" w:eastAsia="黑体"/>
                <w:snapToGrid w:val="0"/>
                <w:color w:val="000000"/>
                <w:spacing w:val="-6"/>
                <w:kern w:val="21"/>
                <w:szCs w:val="21"/>
              </w:rPr>
              <w:t>在建工程</w:t>
            </w:r>
          </w:p>
          <w:p>
            <w:pPr>
              <w:pStyle w:val="9"/>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3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color w:val="000000"/>
                <w:kern w:val="2"/>
                <w:szCs w:val="21"/>
              </w:rPr>
              <w:t>③</w:t>
            </w:r>
            <w:r>
              <w:rPr>
                <w:rFonts w:ascii="黑体" w:hAnsi="黑体" w:eastAsia="黑体"/>
                <w:snapToGrid w:val="0"/>
                <w:color w:val="000000"/>
                <w:spacing w:val="-6"/>
                <w:kern w:val="21"/>
                <w:szCs w:val="21"/>
              </w:rPr>
              <w:fldChar w:fldCharType="end"/>
            </w:r>
          </w:p>
        </w:tc>
        <w:tc>
          <w:tcPr>
            <w:tcW w:w="1559" w:type="dxa"/>
            <w:noWrap w:val="0"/>
            <w:tcMar>
              <w:left w:w="28" w:type="dxa"/>
              <w:right w:w="28" w:type="dxa"/>
            </w:tcMar>
            <w:vAlign w:val="center"/>
          </w:tcPr>
          <w:p>
            <w:pPr>
              <w:pStyle w:val="9"/>
              <w:spacing w:beforeLines="0" w:afterLines="0" w:line="240" w:lineRule="auto"/>
              <w:rPr>
                <w:rFonts w:hint="eastAsia" w:ascii="黑体" w:hAnsi="黑体" w:eastAsia="黑体"/>
                <w:snapToGrid w:val="0"/>
                <w:color w:val="000000"/>
                <w:spacing w:val="-6"/>
                <w:kern w:val="21"/>
                <w:szCs w:val="21"/>
                <w:lang w:eastAsia="zh-CN"/>
              </w:rPr>
            </w:pPr>
            <w:r>
              <w:rPr>
                <w:rFonts w:hint="eastAsia" w:ascii="黑体" w:hAnsi="黑体" w:eastAsia="黑体"/>
                <w:snapToGrid w:val="0"/>
                <w:color w:val="000000"/>
                <w:spacing w:val="-6"/>
                <w:kern w:val="21"/>
                <w:szCs w:val="21"/>
                <w:lang w:eastAsia="zh-CN"/>
              </w:rPr>
              <w:t>本项目</w:t>
            </w:r>
          </w:p>
          <w:p>
            <w:pPr>
              <w:pStyle w:val="9"/>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4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color w:val="000000"/>
                <w:kern w:val="2"/>
                <w:szCs w:val="21"/>
              </w:rPr>
              <w:t>④</w:t>
            </w:r>
            <w:r>
              <w:rPr>
                <w:rFonts w:ascii="黑体" w:hAnsi="黑体" w:eastAsia="黑体"/>
                <w:snapToGrid w:val="0"/>
                <w:color w:val="000000"/>
                <w:spacing w:val="-6"/>
                <w:kern w:val="21"/>
                <w:szCs w:val="21"/>
              </w:rPr>
              <w:fldChar w:fldCharType="end"/>
            </w:r>
          </w:p>
        </w:tc>
        <w:tc>
          <w:tcPr>
            <w:tcW w:w="1761" w:type="dxa"/>
            <w:noWrap w:val="0"/>
            <w:tcMar>
              <w:left w:w="28" w:type="dxa"/>
              <w:right w:w="28" w:type="dxa"/>
            </w:tcMar>
            <w:vAlign w:val="center"/>
          </w:tcPr>
          <w:p>
            <w:pPr>
              <w:pStyle w:val="9"/>
              <w:spacing w:beforeLines="0" w:afterLines="0" w:line="240" w:lineRule="auto"/>
              <w:rPr>
                <w:rFonts w:hint="eastAsia" w:ascii="黑体" w:hAnsi="黑体" w:eastAsia="黑体"/>
                <w:snapToGrid w:val="0"/>
                <w:color w:val="000000"/>
                <w:spacing w:val="-16"/>
                <w:kern w:val="21"/>
                <w:szCs w:val="21"/>
              </w:rPr>
            </w:pPr>
            <w:r>
              <w:rPr>
                <w:rFonts w:ascii="黑体" w:hAnsi="黑体" w:eastAsia="黑体"/>
                <w:snapToGrid w:val="0"/>
                <w:color w:val="000000"/>
                <w:spacing w:val="-16"/>
                <w:kern w:val="21"/>
                <w:szCs w:val="21"/>
              </w:rPr>
              <w:t>以新带老削减量</w:t>
            </w:r>
          </w:p>
          <w:p>
            <w:pPr>
              <w:pStyle w:val="9"/>
              <w:spacing w:beforeLines="0" w:afterLines="0" w:line="240" w:lineRule="auto"/>
              <w:rPr>
                <w:rFonts w:ascii="黑体" w:hAnsi="黑体" w:eastAsia="黑体"/>
                <w:snapToGrid w:val="0"/>
                <w:color w:val="000000"/>
                <w:spacing w:val="-16"/>
                <w:kern w:val="21"/>
                <w:szCs w:val="21"/>
              </w:rPr>
            </w:pPr>
            <w:r>
              <w:rPr>
                <w:rFonts w:ascii="黑体" w:hAnsi="黑体" w:eastAsia="黑体"/>
                <w:snapToGrid w:val="0"/>
                <w:color w:val="000000"/>
                <w:spacing w:val="-16"/>
                <w:kern w:val="21"/>
                <w:szCs w:val="21"/>
              </w:rPr>
              <w:t>（新建项目不填）</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5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color w:val="000000"/>
                <w:kern w:val="2"/>
                <w:szCs w:val="21"/>
              </w:rPr>
              <w:t>⑤</w:t>
            </w:r>
            <w:r>
              <w:rPr>
                <w:rFonts w:ascii="黑体" w:hAnsi="黑体" w:eastAsia="黑体"/>
                <w:snapToGrid w:val="0"/>
                <w:color w:val="000000"/>
                <w:spacing w:val="-16"/>
                <w:kern w:val="21"/>
                <w:szCs w:val="21"/>
              </w:rPr>
              <w:fldChar w:fldCharType="end"/>
            </w:r>
          </w:p>
        </w:tc>
        <w:tc>
          <w:tcPr>
            <w:tcW w:w="1519" w:type="dxa"/>
            <w:noWrap w:val="0"/>
            <w:tcMar>
              <w:left w:w="28" w:type="dxa"/>
              <w:right w:w="28" w:type="dxa"/>
            </w:tcMar>
            <w:vAlign w:val="center"/>
          </w:tcPr>
          <w:p>
            <w:pPr>
              <w:pStyle w:val="9"/>
              <w:spacing w:beforeLines="0" w:afterLines="0" w:line="240" w:lineRule="auto"/>
              <w:rPr>
                <w:rFonts w:hint="eastAsia" w:ascii="黑体" w:hAnsi="黑体" w:eastAsia="黑体"/>
                <w:snapToGrid w:val="0"/>
                <w:color w:val="000000"/>
                <w:spacing w:val="-16"/>
                <w:kern w:val="21"/>
                <w:szCs w:val="21"/>
              </w:rPr>
            </w:pPr>
            <w:r>
              <w:rPr>
                <w:rFonts w:hint="eastAsia" w:ascii="黑体" w:hAnsi="黑体" w:eastAsia="黑体"/>
                <w:snapToGrid w:val="0"/>
                <w:color w:val="000000"/>
                <w:spacing w:val="-16"/>
                <w:kern w:val="21"/>
                <w:szCs w:val="21"/>
                <w:lang w:eastAsia="zh-CN"/>
              </w:rPr>
              <w:t>本项目</w:t>
            </w:r>
            <w:r>
              <w:rPr>
                <w:rFonts w:ascii="黑体" w:hAnsi="黑体" w:eastAsia="黑体"/>
                <w:snapToGrid w:val="0"/>
                <w:color w:val="000000"/>
                <w:spacing w:val="-16"/>
                <w:kern w:val="21"/>
                <w:szCs w:val="21"/>
              </w:rPr>
              <w:t>建成后</w:t>
            </w:r>
          </w:p>
          <w:p>
            <w:pPr>
              <w:pStyle w:val="9"/>
              <w:spacing w:beforeLines="0" w:afterLines="0" w:line="240" w:lineRule="auto"/>
              <w:rPr>
                <w:rFonts w:ascii="黑体" w:hAnsi="黑体" w:eastAsia="黑体"/>
                <w:snapToGrid w:val="0"/>
                <w:color w:val="000000"/>
                <w:spacing w:val="-16"/>
                <w:kern w:val="21"/>
                <w:szCs w:val="21"/>
              </w:rPr>
            </w:pPr>
            <w:r>
              <w:rPr>
                <w:rFonts w:hint="eastAsia" w:ascii="黑体" w:hAnsi="黑体" w:eastAsia="黑体"/>
                <w:snapToGrid w:val="0"/>
                <w:color w:val="000000"/>
                <w:spacing w:val="-16"/>
                <w:kern w:val="21"/>
                <w:szCs w:val="21"/>
              </w:rPr>
              <w:t>全厂</w:t>
            </w:r>
            <w:r>
              <w:rPr>
                <w:rFonts w:ascii="黑体" w:hAnsi="黑体" w:eastAsia="黑体"/>
                <w:snapToGrid w:val="0"/>
                <w:color w:val="000000"/>
                <w:spacing w:val="-16"/>
                <w:kern w:val="21"/>
                <w:szCs w:val="21"/>
              </w:rPr>
              <w:t>排放量（固</w:t>
            </w:r>
            <w:r>
              <w:rPr>
                <w:rFonts w:hint="eastAsia" w:ascii="黑体" w:hAnsi="黑体" w:eastAsia="黑体"/>
                <w:snapToGrid w:val="0"/>
                <w:color w:val="000000"/>
                <w:spacing w:val="-16"/>
                <w:kern w:val="21"/>
                <w:szCs w:val="21"/>
              </w:rPr>
              <w:t>体</w:t>
            </w:r>
            <w:r>
              <w:rPr>
                <w:rFonts w:ascii="黑体" w:hAnsi="黑体" w:eastAsia="黑体"/>
                <w:snapToGrid w:val="0"/>
                <w:color w:val="000000"/>
                <w:spacing w:val="-16"/>
                <w:kern w:val="21"/>
                <w:szCs w:val="21"/>
              </w:rPr>
              <w:t>废</w:t>
            </w:r>
            <w:r>
              <w:rPr>
                <w:rFonts w:hint="eastAsia" w:ascii="黑体" w:hAnsi="黑体" w:eastAsia="黑体"/>
                <w:snapToGrid w:val="0"/>
                <w:color w:val="000000"/>
                <w:spacing w:val="-16"/>
                <w:kern w:val="21"/>
                <w:szCs w:val="21"/>
              </w:rPr>
              <w:t>物</w:t>
            </w:r>
            <w:r>
              <w:rPr>
                <w:rFonts w:ascii="黑体" w:hAnsi="黑体" w:eastAsia="黑体"/>
                <w:snapToGrid w:val="0"/>
                <w:color w:val="000000"/>
                <w:spacing w:val="-16"/>
                <w:kern w:val="21"/>
                <w:szCs w:val="21"/>
              </w:rPr>
              <w:t>产生量）</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6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color w:val="000000"/>
                <w:kern w:val="2"/>
                <w:szCs w:val="21"/>
              </w:rPr>
              <w:t>⑥</w:t>
            </w:r>
            <w:r>
              <w:rPr>
                <w:rFonts w:ascii="黑体" w:hAnsi="黑体" w:eastAsia="黑体"/>
                <w:snapToGrid w:val="0"/>
                <w:color w:val="000000"/>
                <w:spacing w:val="-16"/>
                <w:kern w:val="21"/>
                <w:szCs w:val="21"/>
              </w:rPr>
              <w:fldChar w:fldCharType="end"/>
            </w:r>
          </w:p>
        </w:tc>
        <w:tc>
          <w:tcPr>
            <w:tcW w:w="1266" w:type="dxa"/>
            <w:noWrap w:val="0"/>
            <w:tcMar>
              <w:left w:w="28" w:type="dxa"/>
              <w:right w:w="28" w:type="dxa"/>
            </w:tcMar>
            <w:vAlign w:val="center"/>
          </w:tcPr>
          <w:p>
            <w:pPr>
              <w:pStyle w:val="9"/>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变化量</w:t>
            </w:r>
          </w:p>
          <w:p>
            <w:pPr>
              <w:pStyle w:val="9"/>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7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color w:val="000000"/>
                <w:kern w:val="2"/>
                <w:szCs w:val="21"/>
              </w:rPr>
              <w:t>⑦</w:t>
            </w:r>
            <w:r>
              <w:rPr>
                <w:rFonts w:ascii="黑体" w:hAnsi="黑体" w:eastAsia="黑体"/>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588" w:type="dxa"/>
            <w:vMerge w:val="restart"/>
            <w:noWrap w:val="0"/>
            <w:vAlign w:val="center"/>
          </w:tcPr>
          <w:p>
            <w:pPr>
              <w:pStyle w:val="9"/>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废气</w:t>
            </w:r>
          </w:p>
        </w:tc>
        <w:tc>
          <w:tcPr>
            <w:tcW w:w="1425" w:type="dxa"/>
            <w:noWrap w:val="0"/>
            <w:vAlign w:val="center"/>
          </w:tcPr>
          <w:p>
            <w:pPr>
              <w:pStyle w:val="10"/>
              <w:bidi w:val="0"/>
              <w:rPr>
                <w:rFonts w:hint="default"/>
                <w:color w:val="000000"/>
              </w:rPr>
            </w:pPr>
            <w:r>
              <w:rPr>
                <w:rFonts w:hint="eastAsia"/>
                <w:color w:val="000000"/>
                <w:lang w:val="en-US" w:eastAsia="zh-CN"/>
              </w:rPr>
              <w:t>颗粒物</w:t>
            </w:r>
          </w:p>
        </w:tc>
        <w:tc>
          <w:tcPr>
            <w:tcW w:w="1693" w:type="dxa"/>
            <w:noWrap w:val="0"/>
            <w:vAlign w:val="center"/>
          </w:tcPr>
          <w:p>
            <w:pPr>
              <w:bidi w:val="0"/>
              <w:jc w:val="center"/>
              <w:rPr>
                <w:rFonts w:hint="default" w:eastAsia="宋体"/>
                <w:color w:val="000000"/>
                <w:lang w:val="en-US" w:eastAsia="zh-CN"/>
              </w:rPr>
            </w:pPr>
            <w:r>
              <w:rPr>
                <w:rFonts w:hint="eastAsia" w:eastAsia="宋体"/>
                <w:color w:val="000000"/>
                <w:lang w:val="en-US" w:eastAsia="zh-CN"/>
              </w:rPr>
              <w:t>0</w:t>
            </w:r>
          </w:p>
        </w:tc>
        <w:tc>
          <w:tcPr>
            <w:tcW w:w="1276" w:type="dxa"/>
            <w:noWrap w:val="0"/>
            <w:vAlign w:val="center"/>
          </w:tcPr>
          <w:p>
            <w:pPr>
              <w:bidi w:val="0"/>
              <w:jc w:val="center"/>
              <w:rPr>
                <w:color w:val="000000"/>
              </w:rPr>
            </w:pPr>
            <w:r>
              <w:rPr>
                <w:rFonts w:hint="eastAsia" w:eastAsia="宋体"/>
                <w:color w:val="000000"/>
                <w:lang w:val="en-US" w:eastAsia="zh-CN"/>
              </w:rPr>
              <w:t>0</w:t>
            </w:r>
          </w:p>
        </w:tc>
        <w:tc>
          <w:tcPr>
            <w:tcW w:w="1701" w:type="dxa"/>
            <w:noWrap w:val="0"/>
            <w:vAlign w:val="center"/>
          </w:tcPr>
          <w:p>
            <w:pPr>
              <w:bidi w:val="0"/>
              <w:jc w:val="center"/>
              <w:rPr>
                <w:rFonts w:hint="eastAsia" w:eastAsiaTheme="minorEastAsia"/>
                <w:color w:val="000000"/>
                <w:lang w:val="en-US" w:eastAsia="zh-CN"/>
              </w:rPr>
            </w:pPr>
            <w:r>
              <w:rPr>
                <w:rFonts w:hint="eastAsia"/>
                <w:color w:val="000000"/>
                <w:lang w:val="en-US" w:eastAsia="zh-CN"/>
              </w:rPr>
              <w:t>0</w:t>
            </w:r>
          </w:p>
        </w:tc>
        <w:tc>
          <w:tcPr>
            <w:tcW w:w="1559" w:type="dxa"/>
            <w:noWrap w:val="0"/>
            <w:vAlign w:val="center"/>
          </w:tcPr>
          <w:p>
            <w:pPr>
              <w:pStyle w:val="10"/>
              <w:bidi w:val="0"/>
              <w:rPr>
                <w:rFonts w:hint="default" w:ascii="Times New Roman" w:hAnsi="Times New Roman" w:cs="宋体"/>
                <w:color w:val="auto"/>
                <w:kern w:val="2"/>
                <w:sz w:val="21"/>
                <w:szCs w:val="24"/>
                <w:lang w:val="en-US" w:eastAsia="zh-CN" w:bidi="ar-SA"/>
              </w:rPr>
            </w:pPr>
            <w:r>
              <w:rPr>
                <w:rFonts w:hint="eastAsia" w:cs="宋体"/>
                <w:color w:val="auto"/>
                <w:kern w:val="2"/>
                <w:sz w:val="21"/>
                <w:szCs w:val="24"/>
                <w:lang w:val="en-US" w:eastAsia="zh-CN" w:bidi="ar-SA"/>
              </w:rPr>
              <w:t>0.075</w:t>
            </w:r>
          </w:p>
        </w:tc>
        <w:tc>
          <w:tcPr>
            <w:tcW w:w="1761" w:type="dxa"/>
            <w:noWrap w:val="0"/>
            <w:vAlign w:val="center"/>
          </w:tcPr>
          <w:p>
            <w:pPr>
              <w:bidi w:val="0"/>
              <w:jc w:val="center"/>
              <w:rPr>
                <w:rFonts w:hint="eastAsia" w:eastAsia="宋体"/>
                <w:color w:val="000000"/>
                <w:lang w:val="en-US" w:eastAsia="zh-CN"/>
              </w:rPr>
            </w:pPr>
            <w:r>
              <w:rPr>
                <w:rFonts w:hint="eastAsia"/>
                <w:color w:val="000000"/>
                <w:lang w:val="en-US" w:eastAsia="zh-CN"/>
              </w:rPr>
              <w:t>-</w:t>
            </w:r>
          </w:p>
        </w:tc>
        <w:tc>
          <w:tcPr>
            <w:tcW w:w="1519" w:type="dxa"/>
            <w:noWrap w:val="0"/>
            <w:vAlign w:val="center"/>
          </w:tcPr>
          <w:p>
            <w:pPr>
              <w:pStyle w:val="10"/>
              <w:bidi w:val="0"/>
              <w:rPr>
                <w:rFonts w:hint="default" w:ascii="Times New Roman" w:hAnsi="Times New Roman" w:cs="宋体"/>
                <w:color w:val="000000"/>
                <w:kern w:val="2"/>
                <w:sz w:val="21"/>
                <w:szCs w:val="24"/>
                <w:lang w:val="en-US" w:eastAsia="zh-CN" w:bidi="ar-SA"/>
              </w:rPr>
            </w:pPr>
            <w:r>
              <w:rPr>
                <w:rFonts w:hint="eastAsia" w:cs="宋体"/>
                <w:color w:val="000000"/>
                <w:kern w:val="2"/>
                <w:sz w:val="21"/>
                <w:szCs w:val="24"/>
                <w:lang w:val="en-US" w:eastAsia="zh-CN" w:bidi="ar-SA"/>
              </w:rPr>
              <w:t>0.075</w:t>
            </w:r>
          </w:p>
        </w:tc>
        <w:tc>
          <w:tcPr>
            <w:tcW w:w="1266" w:type="dxa"/>
            <w:noWrap w:val="0"/>
            <w:vAlign w:val="center"/>
          </w:tcPr>
          <w:p>
            <w:pPr>
              <w:pStyle w:val="10"/>
              <w:bidi w:val="0"/>
              <w:rPr>
                <w:rFonts w:hint="default" w:ascii="Times New Roman" w:hAnsi="Times New Roman" w:cs="宋体"/>
                <w:color w:val="000000"/>
                <w:kern w:val="2"/>
                <w:sz w:val="21"/>
                <w:szCs w:val="24"/>
                <w:lang w:val="en-US" w:eastAsia="zh-CN" w:bidi="ar-SA"/>
              </w:rPr>
            </w:pPr>
            <w:r>
              <w:rPr>
                <w:rFonts w:hint="eastAsia" w:cs="宋体"/>
                <w:color w:val="000000"/>
                <w:kern w:val="2"/>
                <w:sz w:val="21"/>
                <w:szCs w:val="24"/>
                <w:lang w:val="en-US" w:eastAsia="zh-CN" w:bidi="ar-SA"/>
              </w:rPr>
              <w:t>+0.075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588" w:type="dxa"/>
            <w:vMerge w:val="continue"/>
            <w:noWrap w:val="0"/>
            <w:vAlign w:val="center"/>
          </w:tcPr>
          <w:p>
            <w:pPr>
              <w:pStyle w:val="9"/>
              <w:spacing w:beforeLines="0" w:afterLines="0" w:line="240" w:lineRule="auto"/>
              <w:rPr>
                <w:rFonts w:hint="eastAsia" w:hAnsi="宋体" w:cs="宋体"/>
                <w:snapToGrid w:val="0"/>
                <w:color w:val="000000"/>
                <w:kern w:val="21"/>
                <w:szCs w:val="21"/>
              </w:rPr>
            </w:pPr>
          </w:p>
        </w:tc>
        <w:tc>
          <w:tcPr>
            <w:tcW w:w="1425" w:type="dxa"/>
            <w:noWrap w:val="0"/>
            <w:vAlign w:val="center"/>
          </w:tcPr>
          <w:p>
            <w:pPr>
              <w:pStyle w:val="10"/>
              <w:bidi w:val="0"/>
              <w:rPr>
                <w:rFonts w:hint="default"/>
                <w:color w:val="000000"/>
                <w:lang w:val="en-US"/>
              </w:rPr>
            </w:pPr>
            <w:r>
              <w:rPr>
                <w:rFonts w:hint="eastAsia"/>
                <w:color w:val="000000"/>
                <w:lang w:val="en-US" w:eastAsia="zh-CN"/>
              </w:rPr>
              <w:t>SO</w:t>
            </w:r>
            <w:r>
              <w:rPr>
                <w:rFonts w:hint="eastAsia"/>
                <w:color w:val="000000"/>
                <w:vertAlign w:val="subscript"/>
                <w:lang w:val="en-US" w:eastAsia="zh-CN"/>
              </w:rPr>
              <w:t>2</w:t>
            </w:r>
          </w:p>
        </w:tc>
        <w:tc>
          <w:tcPr>
            <w:tcW w:w="1693" w:type="dxa"/>
            <w:noWrap w:val="0"/>
            <w:vAlign w:val="center"/>
          </w:tcPr>
          <w:p>
            <w:pPr>
              <w:bidi w:val="0"/>
              <w:jc w:val="center"/>
              <w:rPr>
                <w:color w:val="000000"/>
              </w:rPr>
            </w:pPr>
            <w:r>
              <w:rPr>
                <w:rFonts w:hint="eastAsia" w:eastAsia="宋体"/>
                <w:color w:val="000000"/>
                <w:lang w:val="en-US" w:eastAsia="zh-CN"/>
              </w:rPr>
              <w:t>0</w:t>
            </w:r>
          </w:p>
        </w:tc>
        <w:tc>
          <w:tcPr>
            <w:tcW w:w="1276" w:type="dxa"/>
            <w:noWrap w:val="0"/>
            <w:vAlign w:val="center"/>
          </w:tcPr>
          <w:p>
            <w:pPr>
              <w:bidi w:val="0"/>
              <w:jc w:val="center"/>
              <w:rPr>
                <w:color w:val="000000"/>
              </w:rPr>
            </w:pPr>
            <w:r>
              <w:rPr>
                <w:rFonts w:hint="eastAsia" w:eastAsia="宋体"/>
                <w:color w:val="000000"/>
                <w:lang w:val="en-US" w:eastAsia="zh-CN"/>
              </w:rPr>
              <w:t>0</w:t>
            </w:r>
          </w:p>
        </w:tc>
        <w:tc>
          <w:tcPr>
            <w:tcW w:w="1701" w:type="dxa"/>
            <w:noWrap w:val="0"/>
            <w:vAlign w:val="center"/>
          </w:tcPr>
          <w:p>
            <w:pPr>
              <w:bidi w:val="0"/>
              <w:jc w:val="center"/>
              <w:rPr>
                <w:color w:val="000000"/>
              </w:rPr>
            </w:pPr>
            <w:r>
              <w:rPr>
                <w:rFonts w:hint="eastAsia" w:eastAsia="宋体"/>
                <w:color w:val="000000"/>
                <w:lang w:val="en-US" w:eastAsia="zh-CN"/>
              </w:rPr>
              <w:t>0</w:t>
            </w:r>
          </w:p>
        </w:tc>
        <w:tc>
          <w:tcPr>
            <w:tcW w:w="1559" w:type="dxa"/>
            <w:noWrap w:val="0"/>
            <w:vAlign w:val="center"/>
          </w:tcPr>
          <w:p>
            <w:pPr>
              <w:pStyle w:val="10"/>
              <w:bidi w:val="0"/>
              <w:rPr>
                <w:rFonts w:hint="default" w:ascii="Times New Roman" w:hAnsi="Times New Roman" w:cs="宋体"/>
                <w:color w:val="auto"/>
                <w:kern w:val="2"/>
                <w:sz w:val="21"/>
                <w:szCs w:val="24"/>
                <w:lang w:val="en-US" w:eastAsia="zh-CN" w:bidi="ar-SA"/>
              </w:rPr>
            </w:pPr>
            <w:r>
              <w:rPr>
                <w:rFonts w:hint="eastAsia" w:cs="宋体"/>
                <w:color w:val="auto"/>
                <w:kern w:val="2"/>
                <w:sz w:val="21"/>
                <w:szCs w:val="24"/>
                <w:lang w:val="en-US" w:eastAsia="zh-CN" w:bidi="ar-SA"/>
              </w:rPr>
              <w:t>0.98</w:t>
            </w:r>
          </w:p>
        </w:tc>
        <w:tc>
          <w:tcPr>
            <w:tcW w:w="1761" w:type="dxa"/>
            <w:noWrap w:val="0"/>
            <w:vAlign w:val="center"/>
          </w:tcPr>
          <w:p>
            <w:pPr>
              <w:bidi w:val="0"/>
              <w:jc w:val="center"/>
              <w:rPr>
                <w:color w:val="000000"/>
              </w:rPr>
            </w:pPr>
            <w:r>
              <w:rPr>
                <w:rFonts w:hint="eastAsia"/>
                <w:color w:val="000000"/>
                <w:lang w:val="en-US" w:eastAsia="zh-CN"/>
              </w:rPr>
              <w:t>-</w:t>
            </w:r>
          </w:p>
        </w:tc>
        <w:tc>
          <w:tcPr>
            <w:tcW w:w="1519" w:type="dxa"/>
            <w:noWrap w:val="0"/>
            <w:vAlign w:val="center"/>
          </w:tcPr>
          <w:p>
            <w:pPr>
              <w:pStyle w:val="10"/>
              <w:bidi w:val="0"/>
              <w:rPr>
                <w:rFonts w:hint="default" w:ascii="Times New Roman" w:hAnsi="Times New Roman" w:cs="宋体"/>
                <w:color w:val="000000"/>
                <w:kern w:val="2"/>
                <w:sz w:val="21"/>
                <w:szCs w:val="24"/>
                <w:lang w:val="en-US" w:eastAsia="zh-CN" w:bidi="ar-SA"/>
              </w:rPr>
            </w:pPr>
            <w:r>
              <w:rPr>
                <w:rFonts w:hint="eastAsia" w:cs="宋体"/>
                <w:color w:val="000000"/>
                <w:kern w:val="2"/>
                <w:sz w:val="21"/>
                <w:szCs w:val="24"/>
                <w:lang w:val="en-US" w:eastAsia="zh-CN" w:bidi="ar-SA"/>
              </w:rPr>
              <w:t>0.98</w:t>
            </w:r>
          </w:p>
        </w:tc>
        <w:tc>
          <w:tcPr>
            <w:tcW w:w="1266" w:type="dxa"/>
            <w:noWrap w:val="0"/>
            <w:vAlign w:val="center"/>
          </w:tcPr>
          <w:p>
            <w:pPr>
              <w:pStyle w:val="10"/>
              <w:bidi w:val="0"/>
              <w:rPr>
                <w:rFonts w:hint="default" w:ascii="Times New Roman" w:hAnsi="Times New Roman" w:cs="宋体"/>
                <w:color w:val="000000"/>
                <w:kern w:val="2"/>
                <w:sz w:val="21"/>
                <w:szCs w:val="24"/>
                <w:lang w:val="en-US" w:eastAsia="zh-CN" w:bidi="ar-SA"/>
              </w:rPr>
            </w:pPr>
            <w:r>
              <w:rPr>
                <w:rFonts w:hint="eastAsia" w:cs="宋体"/>
                <w:color w:val="000000"/>
                <w:kern w:val="2"/>
                <w:sz w:val="21"/>
                <w:szCs w:val="24"/>
                <w:lang w:val="en-US" w:eastAsia="zh-CN" w:bidi="ar-SA"/>
              </w:rPr>
              <w:t>+0.98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1588" w:type="dxa"/>
            <w:vMerge w:val="continue"/>
            <w:noWrap w:val="0"/>
            <w:vAlign w:val="center"/>
          </w:tcPr>
          <w:p>
            <w:pPr>
              <w:pStyle w:val="9"/>
              <w:spacing w:beforeLines="0" w:afterLines="0" w:line="240" w:lineRule="auto"/>
              <w:rPr>
                <w:rFonts w:hint="eastAsia" w:hAnsi="宋体" w:cs="宋体"/>
                <w:snapToGrid w:val="0"/>
                <w:color w:val="000000"/>
                <w:kern w:val="21"/>
                <w:szCs w:val="21"/>
              </w:rPr>
            </w:pPr>
          </w:p>
        </w:tc>
        <w:tc>
          <w:tcPr>
            <w:tcW w:w="1425" w:type="dxa"/>
            <w:noWrap w:val="0"/>
            <w:vAlign w:val="center"/>
          </w:tcPr>
          <w:p>
            <w:pPr>
              <w:pStyle w:val="10"/>
              <w:bidi w:val="0"/>
              <w:rPr>
                <w:rFonts w:hint="default"/>
                <w:color w:val="000000"/>
                <w:lang w:val="en-US"/>
              </w:rPr>
            </w:pPr>
            <w:r>
              <w:rPr>
                <w:rFonts w:hint="eastAsia"/>
                <w:color w:val="000000"/>
                <w:lang w:val="en-US" w:eastAsia="zh-CN"/>
              </w:rPr>
              <w:t>NO</w:t>
            </w:r>
            <w:r>
              <w:rPr>
                <w:rFonts w:hint="eastAsia"/>
                <w:color w:val="000000"/>
                <w:vertAlign w:val="subscript"/>
                <w:lang w:val="en-US" w:eastAsia="zh-CN"/>
              </w:rPr>
              <w:t>x</w:t>
            </w:r>
          </w:p>
        </w:tc>
        <w:tc>
          <w:tcPr>
            <w:tcW w:w="1693" w:type="dxa"/>
            <w:noWrap w:val="0"/>
            <w:vAlign w:val="center"/>
          </w:tcPr>
          <w:p>
            <w:pPr>
              <w:bidi w:val="0"/>
              <w:jc w:val="center"/>
              <w:rPr>
                <w:color w:val="000000"/>
              </w:rPr>
            </w:pPr>
            <w:r>
              <w:rPr>
                <w:rFonts w:hint="eastAsia" w:eastAsia="宋体"/>
                <w:color w:val="000000"/>
                <w:lang w:val="en-US" w:eastAsia="zh-CN"/>
              </w:rPr>
              <w:t>0</w:t>
            </w:r>
          </w:p>
        </w:tc>
        <w:tc>
          <w:tcPr>
            <w:tcW w:w="1276" w:type="dxa"/>
            <w:noWrap w:val="0"/>
            <w:vAlign w:val="center"/>
          </w:tcPr>
          <w:p>
            <w:pPr>
              <w:bidi w:val="0"/>
              <w:jc w:val="center"/>
              <w:rPr>
                <w:color w:val="000000"/>
              </w:rPr>
            </w:pPr>
            <w:r>
              <w:rPr>
                <w:rFonts w:hint="eastAsia" w:eastAsia="宋体"/>
                <w:color w:val="000000"/>
                <w:lang w:val="en-US" w:eastAsia="zh-CN"/>
              </w:rPr>
              <w:t>0</w:t>
            </w:r>
          </w:p>
        </w:tc>
        <w:tc>
          <w:tcPr>
            <w:tcW w:w="1701" w:type="dxa"/>
            <w:noWrap w:val="0"/>
            <w:vAlign w:val="center"/>
          </w:tcPr>
          <w:p>
            <w:pPr>
              <w:bidi w:val="0"/>
              <w:jc w:val="center"/>
              <w:rPr>
                <w:color w:val="000000"/>
              </w:rPr>
            </w:pPr>
            <w:r>
              <w:rPr>
                <w:rFonts w:hint="eastAsia" w:eastAsia="宋体"/>
                <w:color w:val="000000"/>
                <w:lang w:val="en-US" w:eastAsia="zh-CN"/>
              </w:rPr>
              <w:t>0</w:t>
            </w:r>
          </w:p>
        </w:tc>
        <w:tc>
          <w:tcPr>
            <w:tcW w:w="1559" w:type="dxa"/>
            <w:noWrap w:val="0"/>
            <w:vAlign w:val="center"/>
          </w:tcPr>
          <w:p>
            <w:pPr>
              <w:pStyle w:val="10"/>
              <w:bidi w:val="0"/>
              <w:rPr>
                <w:rFonts w:hint="default" w:ascii="Times New Roman" w:hAnsi="Times New Roman" w:cs="宋体"/>
                <w:color w:val="auto"/>
                <w:kern w:val="2"/>
                <w:sz w:val="21"/>
                <w:szCs w:val="24"/>
                <w:lang w:val="en-US" w:eastAsia="zh-CN" w:bidi="ar-SA"/>
              </w:rPr>
            </w:pPr>
            <w:r>
              <w:rPr>
                <w:rFonts w:hint="eastAsia" w:cs="宋体"/>
                <w:color w:val="auto"/>
                <w:kern w:val="2"/>
                <w:sz w:val="21"/>
                <w:szCs w:val="24"/>
                <w:lang w:val="en-US" w:eastAsia="zh-CN" w:bidi="ar-SA"/>
              </w:rPr>
              <w:t>1.18</w:t>
            </w:r>
          </w:p>
        </w:tc>
        <w:tc>
          <w:tcPr>
            <w:tcW w:w="1761" w:type="dxa"/>
            <w:noWrap w:val="0"/>
            <w:vAlign w:val="center"/>
          </w:tcPr>
          <w:p>
            <w:pPr>
              <w:bidi w:val="0"/>
              <w:jc w:val="center"/>
              <w:rPr>
                <w:color w:val="000000"/>
              </w:rPr>
            </w:pPr>
            <w:r>
              <w:rPr>
                <w:rFonts w:hint="eastAsia"/>
                <w:color w:val="000000"/>
                <w:lang w:val="en-US" w:eastAsia="zh-CN"/>
              </w:rPr>
              <w:t>-</w:t>
            </w:r>
          </w:p>
        </w:tc>
        <w:tc>
          <w:tcPr>
            <w:tcW w:w="1519" w:type="dxa"/>
            <w:noWrap w:val="0"/>
            <w:vAlign w:val="center"/>
          </w:tcPr>
          <w:p>
            <w:pPr>
              <w:pStyle w:val="10"/>
              <w:bidi w:val="0"/>
              <w:rPr>
                <w:rFonts w:hint="default" w:ascii="Times New Roman" w:hAnsi="Times New Roman" w:cs="宋体"/>
                <w:color w:val="000000"/>
                <w:kern w:val="2"/>
                <w:sz w:val="21"/>
                <w:szCs w:val="24"/>
                <w:lang w:val="en-US" w:eastAsia="zh-CN" w:bidi="ar-SA"/>
              </w:rPr>
            </w:pPr>
            <w:r>
              <w:rPr>
                <w:rFonts w:hint="eastAsia" w:cs="宋体"/>
                <w:color w:val="000000"/>
                <w:kern w:val="2"/>
                <w:sz w:val="21"/>
                <w:szCs w:val="24"/>
                <w:lang w:val="en-US" w:eastAsia="zh-CN" w:bidi="ar-SA"/>
              </w:rPr>
              <w:t>1.18</w:t>
            </w:r>
          </w:p>
        </w:tc>
        <w:tc>
          <w:tcPr>
            <w:tcW w:w="1266" w:type="dxa"/>
            <w:noWrap w:val="0"/>
            <w:vAlign w:val="center"/>
          </w:tcPr>
          <w:p>
            <w:pPr>
              <w:pStyle w:val="10"/>
              <w:bidi w:val="0"/>
              <w:rPr>
                <w:rFonts w:hint="default" w:ascii="Times New Roman" w:hAnsi="Times New Roman" w:cs="宋体"/>
                <w:color w:val="000000"/>
                <w:kern w:val="2"/>
                <w:sz w:val="21"/>
                <w:szCs w:val="24"/>
                <w:lang w:val="en-US" w:eastAsia="zh-CN" w:bidi="ar-SA"/>
              </w:rPr>
            </w:pPr>
            <w:r>
              <w:rPr>
                <w:rFonts w:hint="eastAsia" w:cs="宋体"/>
                <w:color w:val="000000"/>
                <w:kern w:val="2"/>
                <w:sz w:val="21"/>
                <w:szCs w:val="24"/>
                <w:lang w:val="en-US" w:eastAsia="zh-CN" w:bidi="ar-SA"/>
              </w:rPr>
              <w:t>+1.18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588" w:type="dxa"/>
            <w:vMerge w:val="continue"/>
            <w:noWrap w:val="0"/>
            <w:vAlign w:val="center"/>
          </w:tcPr>
          <w:p>
            <w:pPr>
              <w:pStyle w:val="9"/>
              <w:spacing w:beforeLines="0" w:afterLines="0" w:line="240" w:lineRule="auto"/>
              <w:rPr>
                <w:rFonts w:hint="eastAsia" w:hAnsi="宋体" w:cs="宋体"/>
                <w:snapToGrid w:val="0"/>
                <w:color w:val="000000"/>
                <w:kern w:val="21"/>
                <w:szCs w:val="21"/>
              </w:rPr>
            </w:pPr>
          </w:p>
        </w:tc>
        <w:tc>
          <w:tcPr>
            <w:tcW w:w="1425" w:type="dxa"/>
            <w:noWrap w:val="0"/>
            <w:vAlign w:val="center"/>
          </w:tcPr>
          <w:p>
            <w:pPr>
              <w:pStyle w:val="10"/>
              <w:bidi w:val="0"/>
              <w:rPr>
                <w:rFonts w:hint="default" w:eastAsia="宋体"/>
                <w:color w:val="000000"/>
                <w:lang w:val="en-US" w:eastAsia="zh-CN"/>
              </w:rPr>
            </w:pPr>
            <w:r>
              <w:rPr>
                <w:rFonts w:hint="eastAsia"/>
                <w:color w:val="000000"/>
                <w:lang w:val="en-US" w:eastAsia="zh-CN"/>
              </w:rPr>
              <w:t>恶臭</w:t>
            </w:r>
          </w:p>
        </w:tc>
        <w:tc>
          <w:tcPr>
            <w:tcW w:w="1693" w:type="dxa"/>
            <w:noWrap w:val="0"/>
            <w:vAlign w:val="center"/>
          </w:tcPr>
          <w:p>
            <w:pPr>
              <w:bidi w:val="0"/>
              <w:jc w:val="center"/>
              <w:rPr>
                <w:rFonts w:hint="default" w:eastAsia="宋体"/>
                <w:color w:val="000000"/>
                <w:lang w:val="en-US" w:eastAsia="zh-CN"/>
              </w:rPr>
            </w:pPr>
            <w:r>
              <w:rPr>
                <w:rFonts w:hint="eastAsia" w:eastAsia="宋体"/>
                <w:color w:val="000000"/>
                <w:lang w:val="en-US" w:eastAsia="zh-CN"/>
              </w:rPr>
              <w:t>0</w:t>
            </w:r>
          </w:p>
        </w:tc>
        <w:tc>
          <w:tcPr>
            <w:tcW w:w="1276" w:type="dxa"/>
            <w:noWrap w:val="0"/>
            <w:vAlign w:val="center"/>
          </w:tcPr>
          <w:p>
            <w:pPr>
              <w:bidi w:val="0"/>
              <w:jc w:val="center"/>
              <w:rPr>
                <w:rFonts w:hint="default" w:eastAsia="宋体"/>
                <w:color w:val="000000"/>
                <w:lang w:val="en-US" w:eastAsia="zh-CN"/>
              </w:rPr>
            </w:pPr>
            <w:r>
              <w:rPr>
                <w:rFonts w:hint="eastAsia" w:eastAsia="宋体"/>
                <w:color w:val="000000"/>
                <w:lang w:val="en-US" w:eastAsia="zh-CN"/>
              </w:rPr>
              <w:t>0</w:t>
            </w:r>
          </w:p>
        </w:tc>
        <w:tc>
          <w:tcPr>
            <w:tcW w:w="1701" w:type="dxa"/>
            <w:noWrap w:val="0"/>
            <w:vAlign w:val="center"/>
          </w:tcPr>
          <w:p>
            <w:pPr>
              <w:bidi w:val="0"/>
              <w:jc w:val="center"/>
              <w:rPr>
                <w:rFonts w:hint="default" w:eastAsia="宋体"/>
                <w:color w:val="000000"/>
                <w:lang w:val="en-US" w:eastAsia="zh-CN"/>
              </w:rPr>
            </w:pPr>
            <w:r>
              <w:rPr>
                <w:rFonts w:hint="eastAsia" w:eastAsia="宋体"/>
                <w:color w:val="000000"/>
                <w:lang w:val="en-US" w:eastAsia="zh-CN"/>
              </w:rPr>
              <w:t>0</w:t>
            </w:r>
          </w:p>
        </w:tc>
        <w:tc>
          <w:tcPr>
            <w:tcW w:w="1559" w:type="dxa"/>
            <w:noWrap w:val="0"/>
            <w:vAlign w:val="center"/>
          </w:tcPr>
          <w:p>
            <w:pPr>
              <w:pStyle w:val="10"/>
              <w:bidi w:val="0"/>
              <w:rPr>
                <w:rFonts w:hint="default" w:ascii="Times New Roman" w:hAnsi="Times New Roman" w:cs="宋体"/>
                <w:color w:val="auto"/>
                <w:kern w:val="2"/>
                <w:sz w:val="21"/>
                <w:szCs w:val="24"/>
                <w:lang w:val="en-US" w:eastAsia="zh-CN" w:bidi="ar-SA"/>
              </w:rPr>
            </w:pPr>
            <w:r>
              <w:rPr>
                <w:rFonts w:hint="eastAsia" w:cs="宋体"/>
                <w:color w:val="auto"/>
                <w:kern w:val="2"/>
                <w:sz w:val="21"/>
                <w:szCs w:val="24"/>
                <w:lang w:val="en-US" w:eastAsia="zh-CN" w:bidi="ar-SA"/>
              </w:rPr>
              <w:t>少量</w:t>
            </w:r>
          </w:p>
        </w:tc>
        <w:tc>
          <w:tcPr>
            <w:tcW w:w="1761" w:type="dxa"/>
            <w:noWrap w:val="0"/>
            <w:vAlign w:val="center"/>
          </w:tcPr>
          <w:p>
            <w:pPr>
              <w:bidi w:val="0"/>
              <w:jc w:val="center"/>
              <w:rPr>
                <w:rFonts w:hint="default" w:eastAsia="宋体"/>
                <w:color w:val="000000"/>
                <w:lang w:val="en-US" w:eastAsia="zh-CN"/>
              </w:rPr>
            </w:pPr>
            <w:r>
              <w:rPr>
                <w:rFonts w:hint="eastAsia"/>
                <w:color w:val="000000"/>
                <w:lang w:val="en-US" w:eastAsia="zh-CN"/>
              </w:rPr>
              <w:t>-</w:t>
            </w:r>
          </w:p>
        </w:tc>
        <w:tc>
          <w:tcPr>
            <w:tcW w:w="1519" w:type="dxa"/>
            <w:noWrap w:val="0"/>
            <w:vAlign w:val="center"/>
          </w:tcPr>
          <w:p>
            <w:pPr>
              <w:pStyle w:val="10"/>
              <w:bidi w:val="0"/>
              <w:rPr>
                <w:rFonts w:hint="default" w:ascii="Times New Roman" w:hAnsi="Times New Roman" w:cs="宋体"/>
                <w:color w:val="000000"/>
                <w:kern w:val="2"/>
                <w:sz w:val="21"/>
                <w:szCs w:val="24"/>
                <w:lang w:val="en-US" w:eastAsia="zh-CN" w:bidi="ar-SA"/>
              </w:rPr>
            </w:pPr>
            <w:r>
              <w:rPr>
                <w:rFonts w:hint="eastAsia" w:cs="宋体"/>
                <w:color w:val="000000"/>
                <w:kern w:val="2"/>
                <w:sz w:val="21"/>
                <w:szCs w:val="24"/>
                <w:lang w:val="en-US" w:eastAsia="zh-CN" w:bidi="ar-SA"/>
              </w:rPr>
              <w:t>少量</w:t>
            </w:r>
          </w:p>
        </w:tc>
        <w:tc>
          <w:tcPr>
            <w:tcW w:w="1266" w:type="dxa"/>
            <w:noWrap w:val="0"/>
            <w:vAlign w:val="center"/>
          </w:tcPr>
          <w:p>
            <w:pPr>
              <w:pStyle w:val="10"/>
              <w:bidi w:val="0"/>
              <w:rPr>
                <w:rFonts w:hint="default" w:ascii="Times New Roman" w:hAnsi="Times New Roman" w:eastAsia="宋体" w:cs="宋体"/>
                <w:color w:val="000000"/>
                <w:kern w:val="2"/>
                <w:sz w:val="21"/>
                <w:szCs w:val="24"/>
                <w:lang w:val="en-US" w:eastAsia="zh-CN" w:bidi="ar-SA"/>
              </w:rPr>
            </w:pPr>
            <w:r>
              <w:rPr>
                <w:rFonts w:hint="eastAsia" w:cs="宋体"/>
                <w:color w:val="000000"/>
                <w:kern w:val="2"/>
                <w:sz w:val="21"/>
                <w:szCs w:val="24"/>
                <w:lang w:val="en-US" w:eastAsia="zh-CN" w:bidi="ar-SA"/>
              </w:rPr>
              <w:t>少量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1588" w:type="dxa"/>
            <w:vMerge w:val="restart"/>
            <w:noWrap w:val="0"/>
            <w:vAlign w:val="center"/>
          </w:tcPr>
          <w:p>
            <w:pPr>
              <w:pStyle w:val="9"/>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废水</w:t>
            </w:r>
          </w:p>
        </w:tc>
        <w:tc>
          <w:tcPr>
            <w:tcW w:w="1425" w:type="dxa"/>
            <w:noWrap w:val="0"/>
            <w:vAlign w:val="center"/>
          </w:tcPr>
          <w:p>
            <w:pPr>
              <w:spacing w:beforeLines="0" w:afterLines="0" w:line="240" w:lineRule="auto"/>
              <w:jc w:val="center"/>
              <w:rPr>
                <w:rFonts w:hAnsi="宋体" w:cs="宋体"/>
                <w:snapToGrid w:val="0"/>
                <w:color w:val="000000"/>
                <w:kern w:val="21"/>
                <w:szCs w:val="21"/>
              </w:rPr>
            </w:pPr>
            <w:r>
              <w:rPr>
                <w:rFonts w:hint="eastAsia"/>
                <w:color w:val="000000"/>
                <w:lang w:val="en-US" w:eastAsia="zh-CN"/>
              </w:rPr>
              <w:t>COD</w:t>
            </w:r>
          </w:p>
        </w:tc>
        <w:tc>
          <w:tcPr>
            <w:tcW w:w="1693" w:type="dxa"/>
            <w:noWrap w:val="0"/>
            <w:vAlign w:val="center"/>
          </w:tcPr>
          <w:p>
            <w:pPr>
              <w:spacing w:beforeLines="0" w:afterLines="0" w:line="240" w:lineRule="auto"/>
              <w:jc w:val="center"/>
              <w:rPr>
                <w:rFonts w:hint="eastAsia" w:hAnsi="宋体" w:eastAsia="宋体" w:cs="宋体"/>
                <w:snapToGrid w:val="0"/>
                <w:color w:val="000000"/>
                <w:kern w:val="21"/>
                <w:szCs w:val="21"/>
                <w:lang w:val="en-US" w:eastAsia="zh-CN"/>
              </w:rPr>
            </w:pPr>
            <w:r>
              <w:rPr>
                <w:rFonts w:hint="eastAsia" w:eastAsia="宋体"/>
                <w:color w:val="000000"/>
                <w:lang w:val="en-US" w:eastAsia="zh-CN"/>
              </w:rPr>
              <w:t>0</w:t>
            </w:r>
          </w:p>
        </w:tc>
        <w:tc>
          <w:tcPr>
            <w:tcW w:w="1276" w:type="dxa"/>
            <w:noWrap w:val="0"/>
            <w:vAlign w:val="center"/>
          </w:tcPr>
          <w:p>
            <w:pPr>
              <w:spacing w:beforeLines="0" w:afterLines="0" w:line="240" w:lineRule="auto"/>
              <w:jc w:val="center"/>
              <w:rPr>
                <w:rFonts w:hint="default" w:hAnsi="宋体" w:eastAsia="宋体" w:cs="宋体"/>
                <w:snapToGrid w:val="0"/>
                <w:color w:val="000000"/>
                <w:kern w:val="21"/>
                <w:szCs w:val="21"/>
                <w:lang w:val="en-US" w:eastAsia="zh-CN"/>
              </w:rPr>
            </w:pPr>
            <w:r>
              <w:rPr>
                <w:rFonts w:hint="eastAsia" w:eastAsia="宋体"/>
                <w:color w:val="000000"/>
                <w:lang w:val="en-US" w:eastAsia="zh-CN"/>
              </w:rPr>
              <w:t>0</w:t>
            </w:r>
          </w:p>
        </w:tc>
        <w:tc>
          <w:tcPr>
            <w:tcW w:w="1701" w:type="dxa"/>
            <w:noWrap w:val="0"/>
            <w:vAlign w:val="center"/>
          </w:tcPr>
          <w:p>
            <w:pPr>
              <w:bidi w:val="0"/>
              <w:jc w:val="center"/>
              <w:rPr>
                <w:rFonts w:hint="eastAsia" w:eastAsia="宋体"/>
                <w:color w:val="000000"/>
                <w:lang w:val="en-US" w:eastAsia="zh-CN"/>
              </w:rPr>
            </w:pPr>
            <w:r>
              <w:rPr>
                <w:rFonts w:hint="eastAsia" w:eastAsia="宋体"/>
                <w:color w:val="000000"/>
                <w:lang w:val="en-US" w:eastAsia="zh-CN"/>
              </w:rPr>
              <w:t>0</w:t>
            </w:r>
          </w:p>
        </w:tc>
        <w:tc>
          <w:tcPr>
            <w:tcW w:w="1559" w:type="dxa"/>
            <w:noWrap w:val="0"/>
            <w:vAlign w:val="center"/>
          </w:tcPr>
          <w:p>
            <w:pPr>
              <w:pStyle w:val="10"/>
              <w:bidi w:val="0"/>
              <w:rPr>
                <w:rFonts w:hint="default" w:eastAsia="宋体"/>
                <w:color w:val="auto"/>
                <w:lang w:val="en-US" w:eastAsia="zh-CN"/>
              </w:rPr>
            </w:pPr>
            <w:r>
              <w:rPr>
                <w:rFonts w:hint="eastAsia" w:eastAsia="宋体"/>
                <w:color w:val="auto"/>
                <w:lang w:val="en-US" w:eastAsia="zh-CN"/>
              </w:rPr>
              <w:t>0</w:t>
            </w:r>
          </w:p>
        </w:tc>
        <w:tc>
          <w:tcPr>
            <w:tcW w:w="1761" w:type="dxa"/>
            <w:noWrap w:val="0"/>
            <w:vAlign w:val="center"/>
          </w:tcPr>
          <w:p>
            <w:pPr>
              <w:bidi w:val="0"/>
              <w:jc w:val="center"/>
              <w:rPr>
                <w:rFonts w:hint="default" w:eastAsia="宋体"/>
                <w:color w:val="000000"/>
                <w:lang w:val="en-US" w:eastAsia="zh-CN"/>
              </w:rPr>
            </w:pPr>
            <w:r>
              <w:rPr>
                <w:rFonts w:hint="eastAsia"/>
                <w:color w:val="000000"/>
                <w:lang w:val="en-US" w:eastAsia="zh-CN"/>
              </w:rPr>
              <w:t>-</w:t>
            </w:r>
          </w:p>
        </w:tc>
        <w:tc>
          <w:tcPr>
            <w:tcW w:w="1519" w:type="dxa"/>
            <w:noWrap w:val="0"/>
            <w:vAlign w:val="center"/>
          </w:tcPr>
          <w:p>
            <w:pPr>
              <w:pStyle w:val="10"/>
              <w:bidi w:val="0"/>
              <w:rPr>
                <w:rFonts w:hint="default" w:eastAsia="宋体"/>
                <w:color w:val="000000"/>
                <w:lang w:val="en-US" w:eastAsia="zh-CN"/>
              </w:rPr>
            </w:pPr>
            <w:r>
              <w:rPr>
                <w:rFonts w:hint="eastAsia" w:eastAsia="宋体"/>
                <w:color w:val="000000"/>
                <w:lang w:val="en-US" w:eastAsia="zh-CN"/>
              </w:rPr>
              <w:t>0</w:t>
            </w:r>
          </w:p>
        </w:tc>
        <w:tc>
          <w:tcPr>
            <w:tcW w:w="1266" w:type="dxa"/>
            <w:noWrap w:val="0"/>
            <w:vAlign w:val="center"/>
          </w:tcPr>
          <w:p>
            <w:pPr>
              <w:pStyle w:val="10"/>
              <w:bidi w:val="0"/>
              <w:rPr>
                <w:rFonts w:hint="default" w:eastAsia="宋体"/>
                <w:color w:val="000000"/>
                <w:lang w:val="en-US" w:eastAsia="zh-CN"/>
              </w:rPr>
            </w:pPr>
            <w:r>
              <w:rPr>
                <w:rFonts w:hint="eastAsia" w:eastAsia="宋体"/>
                <w:color w:val="00000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588" w:type="dxa"/>
            <w:vMerge w:val="continue"/>
            <w:noWrap w:val="0"/>
            <w:vAlign w:val="center"/>
          </w:tcPr>
          <w:p>
            <w:pPr>
              <w:pStyle w:val="9"/>
              <w:spacing w:beforeLines="0" w:afterLines="0" w:line="240" w:lineRule="auto"/>
              <w:rPr>
                <w:rFonts w:hint="eastAsia" w:hAnsi="宋体" w:cs="宋体"/>
                <w:snapToGrid w:val="0"/>
                <w:color w:val="000000"/>
                <w:kern w:val="21"/>
                <w:szCs w:val="21"/>
              </w:rPr>
            </w:pPr>
          </w:p>
        </w:tc>
        <w:tc>
          <w:tcPr>
            <w:tcW w:w="1425" w:type="dxa"/>
            <w:noWrap w:val="0"/>
            <w:vAlign w:val="center"/>
          </w:tcPr>
          <w:p>
            <w:pPr>
              <w:spacing w:beforeLines="0" w:afterLines="0" w:line="240" w:lineRule="auto"/>
              <w:jc w:val="center"/>
              <w:rPr>
                <w:rFonts w:hint="default"/>
                <w:color w:val="000000"/>
                <w:lang w:val="en-US" w:eastAsia="zh-CN"/>
              </w:rPr>
            </w:pPr>
            <w:r>
              <w:rPr>
                <w:rFonts w:hint="eastAsia"/>
                <w:color w:val="000000"/>
                <w:lang w:val="en-US" w:eastAsia="zh-CN"/>
              </w:rPr>
              <w:t>BOD</w:t>
            </w:r>
            <w:r>
              <w:rPr>
                <w:rFonts w:hint="eastAsia"/>
                <w:color w:val="000000"/>
                <w:vertAlign w:val="subscript"/>
                <w:lang w:val="en-US" w:eastAsia="zh-CN"/>
              </w:rPr>
              <w:t>5</w:t>
            </w:r>
          </w:p>
        </w:tc>
        <w:tc>
          <w:tcPr>
            <w:tcW w:w="1693" w:type="dxa"/>
            <w:noWrap w:val="0"/>
            <w:vAlign w:val="center"/>
          </w:tcPr>
          <w:p>
            <w:pPr>
              <w:spacing w:beforeLines="0" w:afterLines="0" w:line="240" w:lineRule="auto"/>
              <w:jc w:val="center"/>
              <w:rPr>
                <w:rFonts w:hint="default" w:hAnsi="宋体" w:cs="宋体"/>
                <w:snapToGrid w:val="0"/>
                <w:color w:val="000000"/>
                <w:kern w:val="21"/>
                <w:szCs w:val="21"/>
                <w:highlight w:val="none"/>
                <w:lang w:val="en-US" w:eastAsia="zh-CN"/>
              </w:rPr>
            </w:pPr>
            <w:r>
              <w:rPr>
                <w:rFonts w:hint="eastAsia" w:eastAsia="宋体"/>
                <w:color w:val="000000"/>
                <w:lang w:val="en-US" w:eastAsia="zh-CN"/>
              </w:rPr>
              <w:t>0</w:t>
            </w:r>
          </w:p>
        </w:tc>
        <w:tc>
          <w:tcPr>
            <w:tcW w:w="1276" w:type="dxa"/>
            <w:noWrap w:val="0"/>
            <w:vAlign w:val="center"/>
          </w:tcPr>
          <w:p>
            <w:pPr>
              <w:spacing w:beforeLines="0" w:afterLines="0" w:line="240" w:lineRule="auto"/>
              <w:jc w:val="center"/>
              <w:rPr>
                <w:rFonts w:hint="eastAsia" w:hAnsi="宋体" w:eastAsia="宋体" w:cs="宋体"/>
                <w:snapToGrid w:val="0"/>
                <w:color w:val="000000"/>
                <w:kern w:val="21"/>
                <w:sz w:val="21"/>
                <w:szCs w:val="21"/>
                <w:lang w:val="en-US" w:eastAsia="zh-CN" w:bidi="ar-SA"/>
              </w:rPr>
            </w:pPr>
            <w:r>
              <w:rPr>
                <w:rFonts w:hint="eastAsia" w:eastAsia="宋体"/>
                <w:color w:val="000000"/>
                <w:lang w:val="en-US" w:eastAsia="zh-CN"/>
              </w:rPr>
              <w:t>0</w:t>
            </w:r>
          </w:p>
        </w:tc>
        <w:tc>
          <w:tcPr>
            <w:tcW w:w="1701" w:type="dxa"/>
            <w:noWrap w:val="0"/>
            <w:vAlign w:val="center"/>
          </w:tcPr>
          <w:p>
            <w:pPr>
              <w:bidi w:val="0"/>
              <w:jc w:val="center"/>
              <w:rPr>
                <w:rFonts w:hint="eastAsia" w:ascii="Times New Roman" w:hAnsi="Times New Roman" w:cs="宋体"/>
                <w:color w:val="000000"/>
                <w:kern w:val="2"/>
                <w:sz w:val="21"/>
                <w:szCs w:val="24"/>
                <w:lang w:val="en-US" w:eastAsia="zh-CN" w:bidi="ar-SA"/>
              </w:rPr>
            </w:pPr>
            <w:r>
              <w:rPr>
                <w:rFonts w:hint="eastAsia" w:eastAsia="宋体"/>
                <w:color w:val="000000"/>
                <w:lang w:val="en-US" w:eastAsia="zh-CN"/>
              </w:rPr>
              <w:t>0</w:t>
            </w:r>
          </w:p>
        </w:tc>
        <w:tc>
          <w:tcPr>
            <w:tcW w:w="1559" w:type="dxa"/>
            <w:noWrap w:val="0"/>
            <w:vAlign w:val="center"/>
          </w:tcPr>
          <w:p>
            <w:pPr>
              <w:bidi w:val="0"/>
              <w:jc w:val="center"/>
              <w:rPr>
                <w:rFonts w:hint="default" w:ascii="Times New Roman" w:hAnsi="Times New Roman" w:cs="宋体"/>
                <w:color w:val="auto"/>
                <w:kern w:val="2"/>
                <w:sz w:val="21"/>
                <w:szCs w:val="24"/>
                <w:lang w:val="en-US" w:eastAsia="zh-CN" w:bidi="ar-SA"/>
              </w:rPr>
            </w:pPr>
            <w:r>
              <w:rPr>
                <w:rFonts w:hint="eastAsia" w:ascii="Times New Roman" w:hAnsi="Times New Roman" w:cs="宋体"/>
                <w:color w:val="auto"/>
                <w:kern w:val="2"/>
                <w:sz w:val="21"/>
                <w:szCs w:val="24"/>
                <w:lang w:val="en-US" w:eastAsia="zh-CN" w:bidi="ar-SA"/>
              </w:rPr>
              <w:t>0</w:t>
            </w:r>
          </w:p>
        </w:tc>
        <w:tc>
          <w:tcPr>
            <w:tcW w:w="1761" w:type="dxa"/>
            <w:noWrap w:val="0"/>
            <w:vAlign w:val="center"/>
          </w:tcPr>
          <w:p>
            <w:pPr>
              <w:bidi w:val="0"/>
              <w:jc w:val="center"/>
              <w:rPr>
                <w:rFonts w:hint="default"/>
                <w:color w:val="000000"/>
                <w:lang w:val="en-US" w:eastAsia="zh-CN"/>
              </w:rPr>
            </w:pPr>
            <w:r>
              <w:rPr>
                <w:rFonts w:hint="eastAsia"/>
                <w:color w:val="000000"/>
                <w:lang w:val="en-US" w:eastAsia="zh-CN"/>
              </w:rPr>
              <w:t>-</w:t>
            </w:r>
          </w:p>
        </w:tc>
        <w:tc>
          <w:tcPr>
            <w:tcW w:w="1519" w:type="dxa"/>
            <w:noWrap w:val="0"/>
            <w:vAlign w:val="center"/>
          </w:tcPr>
          <w:p>
            <w:pPr>
              <w:bidi w:val="0"/>
              <w:jc w:val="center"/>
              <w:rPr>
                <w:rFonts w:hint="default" w:ascii="Times New Roman" w:hAnsi="宋体" w:cs="宋体"/>
                <w:snapToGrid w:val="0"/>
                <w:color w:val="000000"/>
                <w:kern w:val="21"/>
                <w:sz w:val="21"/>
                <w:szCs w:val="21"/>
                <w:highlight w:val="none"/>
                <w:lang w:val="en-US" w:eastAsia="zh-CN" w:bidi="ar-SA"/>
              </w:rPr>
            </w:pPr>
            <w:r>
              <w:rPr>
                <w:rFonts w:hint="eastAsia" w:ascii="Times New Roman" w:hAnsi="宋体" w:cs="宋体"/>
                <w:snapToGrid w:val="0"/>
                <w:color w:val="000000"/>
                <w:kern w:val="21"/>
                <w:sz w:val="21"/>
                <w:szCs w:val="21"/>
                <w:highlight w:val="none"/>
                <w:lang w:val="en-US" w:eastAsia="zh-CN" w:bidi="ar-SA"/>
              </w:rPr>
              <w:t>0</w:t>
            </w:r>
          </w:p>
        </w:tc>
        <w:tc>
          <w:tcPr>
            <w:tcW w:w="1266" w:type="dxa"/>
            <w:noWrap w:val="0"/>
            <w:vAlign w:val="center"/>
          </w:tcPr>
          <w:p>
            <w:pPr>
              <w:bidi w:val="0"/>
              <w:jc w:val="center"/>
              <w:rPr>
                <w:rFonts w:hint="default"/>
                <w:color w:val="000000"/>
                <w:lang w:val="en-US" w:eastAsia="zh-CN"/>
              </w:rPr>
            </w:pPr>
            <w:r>
              <w:rPr>
                <w:rFonts w:hint="eastAsia" w:ascii="Times New Roman" w:hAnsi="宋体" w:cs="宋体"/>
                <w:snapToGrid w:val="0"/>
                <w:color w:val="000000"/>
                <w:kern w:val="21"/>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588" w:type="dxa"/>
            <w:vMerge w:val="continue"/>
            <w:noWrap w:val="0"/>
            <w:vAlign w:val="center"/>
          </w:tcPr>
          <w:p>
            <w:pPr>
              <w:pStyle w:val="9"/>
              <w:spacing w:beforeLines="0" w:afterLines="0" w:line="240" w:lineRule="auto"/>
              <w:rPr>
                <w:rFonts w:hint="eastAsia" w:hAnsi="宋体" w:cs="宋体"/>
                <w:snapToGrid w:val="0"/>
                <w:color w:val="000000"/>
                <w:kern w:val="21"/>
                <w:szCs w:val="21"/>
              </w:rPr>
            </w:pPr>
          </w:p>
        </w:tc>
        <w:tc>
          <w:tcPr>
            <w:tcW w:w="1425" w:type="dxa"/>
            <w:noWrap w:val="0"/>
            <w:vAlign w:val="center"/>
          </w:tcPr>
          <w:p>
            <w:pPr>
              <w:spacing w:beforeLines="0" w:afterLines="0" w:line="240" w:lineRule="auto"/>
              <w:jc w:val="center"/>
              <w:rPr>
                <w:rFonts w:hint="default"/>
                <w:color w:val="000000"/>
                <w:lang w:val="en-US" w:eastAsia="zh-CN"/>
              </w:rPr>
            </w:pPr>
            <w:r>
              <w:rPr>
                <w:rFonts w:hint="eastAsia"/>
                <w:color w:val="000000"/>
                <w:lang w:val="en-US" w:eastAsia="zh-CN"/>
              </w:rPr>
              <w:t>总磷</w:t>
            </w:r>
          </w:p>
        </w:tc>
        <w:tc>
          <w:tcPr>
            <w:tcW w:w="1693" w:type="dxa"/>
            <w:noWrap w:val="0"/>
            <w:vAlign w:val="center"/>
          </w:tcPr>
          <w:p>
            <w:pPr>
              <w:spacing w:beforeLines="0" w:afterLines="0" w:line="240" w:lineRule="auto"/>
              <w:jc w:val="center"/>
              <w:rPr>
                <w:rFonts w:hint="eastAsia"/>
                <w:color w:val="000000"/>
                <w:lang w:eastAsia="zh-CN"/>
              </w:rPr>
            </w:pPr>
            <w:r>
              <w:rPr>
                <w:rFonts w:hint="eastAsia" w:eastAsia="宋体"/>
                <w:color w:val="000000"/>
                <w:lang w:val="en-US" w:eastAsia="zh-CN"/>
              </w:rPr>
              <w:t>0</w:t>
            </w:r>
          </w:p>
        </w:tc>
        <w:tc>
          <w:tcPr>
            <w:tcW w:w="1276" w:type="dxa"/>
            <w:noWrap w:val="0"/>
            <w:vAlign w:val="center"/>
          </w:tcPr>
          <w:p>
            <w:pPr>
              <w:spacing w:beforeLines="0" w:afterLines="0" w:line="240" w:lineRule="auto"/>
              <w:jc w:val="center"/>
              <w:rPr>
                <w:rFonts w:hint="eastAsia"/>
                <w:color w:val="000000"/>
                <w:lang w:eastAsia="zh-CN"/>
              </w:rPr>
            </w:pPr>
            <w:r>
              <w:rPr>
                <w:rFonts w:hint="eastAsia" w:eastAsia="宋体"/>
                <w:color w:val="000000"/>
                <w:lang w:val="en-US" w:eastAsia="zh-CN"/>
              </w:rPr>
              <w:t>0</w:t>
            </w:r>
          </w:p>
        </w:tc>
        <w:tc>
          <w:tcPr>
            <w:tcW w:w="1701" w:type="dxa"/>
            <w:noWrap w:val="0"/>
            <w:vAlign w:val="center"/>
          </w:tcPr>
          <w:p>
            <w:pPr>
              <w:bidi w:val="0"/>
              <w:jc w:val="center"/>
              <w:rPr>
                <w:rFonts w:hint="eastAsia"/>
                <w:color w:val="000000"/>
                <w:lang w:eastAsia="zh-CN"/>
              </w:rPr>
            </w:pPr>
            <w:r>
              <w:rPr>
                <w:rFonts w:hint="eastAsia" w:eastAsia="宋体"/>
                <w:color w:val="000000"/>
                <w:lang w:val="en-US" w:eastAsia="zh-CN"/>
              </w:rPr>
              <w:t>0</w:t>
            </w:r>
          </w:p>
        </w:tc>
        <w:tc>
          <w:tcPr>
            <w:tcW w:w="1559" w:type="dxa"/>
            <w:noWrap w:val="0"/>
            <w:vAlign w:val="center"/>
          </w:tcPr>
          <w:p>
            <w:pPr>
              <w:bidi w:val="0"/>
              <w:jc w:val="center"/>
              <w:rPr>
                <w:rFonts w:hint="default"/>
                <w:color w:val="auto"/>
                <w:lang w:val="en-US" w:eastAsia="zh-CN"/>
              </w:rPr>
            </w:pPr>
            <w:r>
              <w:rPr>
                <w:rFonts w:hint="eastAsia"/>
                <w:color w:val="auto"/>
                <w:lang w:val="en-US" w:eastAsia="zh-CN"/>
              </w:rPr>
              <w:t>0</w:t>
            </w:r>
          </w:p>
        </w:tc>
        <w:tc>
          <w:tcPr>
            <w:tcW w:w="1761" w:type="dxa"/>
            <w:noWrap w:val="0"/>
            <w:vAlign w:val="center"/>
          </w:tcPr>
          <w:p>
            <w:pPr>
              <w:bidi w:val="0"/>
              <w:jc w:val="center"/>
              <w:rPr>
                <w:rFonts w:hint="eastAsia"/>
                <w:color w:val="000000"/>
                <w:lang w:eastAsia="zh-CN"/>
              </w:rPr>
            </w:pPr>
            <w:r>
              <w:rPr>
                <w:rFonts w:hint="eastAsia"/>
                <w:color w:val="000000"/>
                <w:lang w:val="en-US" w:eastAsia="zh-CN"/>
              </w:rPr>
              <w:t>-</w:t>
            </w:r>
          </w:p>
        </w:tc>
        <w:tc>
          <w:tcPr>
            <w:tcW w:w="1519" w:type="dxa"/>
            <w:noWrap w:val="0"/>
            <w:vAlign w:val="center"/>
          </w:tcPr>
          <w:p>
            <w:pPr>
              <w:bidi w:val="0"/>
              <w:jc w:val="center"/>
              <w:rPr>
                <w:rFonts w:hint="default"/>
                <w:color w:val="000000"/>
                <w:lang w:val="en-US" w:eastAsia="zh-CN"/>
              </w:rPr>
            </w:pPr>
            <w:r>
              <w:rPr>
                <w:rFonts w:hint="eastAsia"/>
                <w:color w:val="000000"/>
                <w:lang w:val="en-US" w:eastAsia="zh-CN"/>
              </w:rPr>
              <w:t>0</w:t>
            </w:r>
          </w:p>
        </w:tc>
        <w:tc>
          <w:tcPr>
            <w:tcW w:w="1266" w:type="dxa"/>
            <w:noWrap w:val="0"/>
            <w:vAlign w:val="center"/>
          </w:tcPr>
          <w:p>
            <w:pPr>
              <w:bidi w:val="0"/>
              <w:jc w:val="center"/>
              <w:rPr>
                <w:rFonts w:hint="default"/>
                <w:color w:val="000000"/>
                <w:lang w:val="en-US" w:eastAsia="zh-CN"/>
              </w:rPr>
            </w:pPr>
            <w:r>
              <w:rPr>
                <w:rFonts w:hint="eastAsia"/>
                <w:color w:val="00000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588" w:type="dxa"/>
            <w:vMerge w:val="continue"/>
            <w:noWrap w:val="0"/>
            <w:vAlign w:val="center"/>
          </w:tcPr>
          <w:p>
            <w:pPr>
              <w:pStyle w:val="9"/>
              <w:spacing w:beforeLines="0" w:afterLines="0" w:line="240" w:lineRule="auto"/>
              <w:rPr>
                <w:rFonts w:hint="eastAsia" w:hAnsi="宋体" w:cs="宋体"/>
                <w:snapToGrid w:val="0"/>
                <w:color w:val="000000"/>
                <w:kern w:val="21"/>
                <w:szCs w:val="21"/>
              </w:rPr>
            </w:pPr>
          </w:p>
        </w:tc>
        <w:tc>
          <w:tcPr>
            <w:tcW w:w="1425" w:type="dxa"/>
            <w:noWrap w:val="0"/>
            <w:vAlign w:val="center"/>
          </w:tcPr>
          <w:p>
            <w:pPr>
              <w:spacing w:beforeLines="0" w:afterLines="0" w:line="240" w:lineRule="auto"/>
              <w:jc w:val="center"/>
              <w:rPr>
                <w:rFonts w:hint="eastAsia"/>
                <w:color w:val="000000"/>
                <w:lang w:val="en-US" w:eastAsia="zh-CN"/>
              </w:rPr>
            </w:pPr>
            <w:r>
              <w:rPr>
                <w:rFonts w:hint="eastAsia"/>
                <w:color w:val="000000"/>
                <w:lang w:eastAsia="zh-CN"/>
              </w:rPr>
              <w:t>氨氮</w:t>
            </w:r>
          </w:p>
        </w:tc>
        <w:tc>
          <w:tcPr>
            <w:tcW w:w="1693" w:type="dxa"/>
            <w:noWrap w:val="0"/>
            <w:vAlign w:val="center"/>
          </w:tcPr>
          <w:p>
            <w:pPr>
              <w:spacing w:beforeLines="0" w:afterLines="0" w:line="240" w:lineRule="auto"/>
              <w:jc w:val="center"/>
              <w:rPr>
                <w:rFonts w:hint="eastAsia"/>
                <w:color w:val="000000"/>
                <w:lang w:eastAsia="zh-CN"/>
              </w:rPr>
            </w:pPr>
            <w:r>
              <w:rPr>
                <w:rFonts w:hint="eastAsia" w:eastAsia="宋体"/>
                <w:color w:val="000000"/>
                <w:lang w:val="en-US" w:eastAsia="zh-CN"/>
              </w:rPr>
              <w:t>0</w:t>
            </w:r>
          </w:p>
        </w:tc>
        <w:tc>
          <w:tcPr>
            <w:tcW w:w="1276" w:type="dxa"/>
            <w:noWrap w:val="0"/>
            <w:vAlign w:val="center"/>
          </w:tcPr>
          <w:p>
            <w:pPr>
              <w:spacing w:beforeLines="0" w:afterLines="0" w:line="240" w:lineRule="auto"/>
              <w:jc w:val="center"/>
              <w:rPr>
                <w:rFonts w:hint="eastAsia"/>
                <w:color w:val="000000"/>
                <w:lang w:eastAsia="zh-CN"/>
              </w:rPr>
            </w:pPr>
            <w:r>
              <w:rPr>
                <w:rFonts w:hint="eastAsia" w:eastAsia="宋体"/>
                <w:color w:val="000000"/>
                <w:lang w:val="en-US" w:eastAsia="zh-CN"/>
              </w:rPr>
              <w:t>0</w:t>
            </w:r>
          </w:p>
        </w:tc>
        <w:tc>
          <w:tcPr>
            <w:tcW w:w="1701" w:type="dxa"/>
            <w:noWrap w:val="0"/>
            <w:vAlign w:val="center"/>
          </w:tcPr>
          <w:p>
            <w:pPr>
              <w:bidi w:val="0"/>
              <w:jc w:val="center"/>
              <w:rPr>
                <w:rFonts w:hint="eastAsia"/>
                <w:color w:val="000000"/>
                <w:lang w:eastAsia="zh-CN"/>
              </w:rPr>
            </w:pPr>
            <w:r>
              <w:rPr>
                <w:rFonts w:hint="eastAsia" w:eastAsia="宋体"/>
                <w:color w:val="000000"/>
                <w:lang w:val="en-US" w:eastAsia="zh-CN"/>
              </w:rPr>
              <w:t>0</w:t>
            </w:r>
          </w:p>
        </w:tc>
        <w:tc>
          <w:tcPr>
            <w:tcW w:w="1559" w:type="dxa"/>
            <w:noWrap w:val="0"/>
            <w:vAlign w:val="center"/>
          </w:tcPr>
          <w:p>
            <w:pPr>
              <w:bidi w:val="0"/>
              <w:jc w:val="center"/>
              <w:rPr>
                <w:rFonts w:hint="default"/>
                <w:color w:val="auto"/>
                <w:lang w:val="en-US" w:eastAsia="zh-CN"/>
              </w:rPr>
            </w:pPr>
            <w:r>
              <w:rPr>
                <w:rFonts w:hint="eastAsia"/>
                <w:color w:val="auto"/>
                <w:lang w:val="en-US" w:eastAsia="zh-CN"/>
              </w:rPr>
              <w:t>0</w:t>
            </w:r>
          </w:p>
        </w:tc>
        <w:tc>
          <w:tcPr>
            <w:tcW w:w="1761" w:type="dxa"/>
            <w:noWrap w:val="0"/>
            <w:vAlign w:val="center"/>
          </w:tcPr>
          <w:p>
            <w:pPr>
              <w:bidi w:val="0"/>
              <w:jc w:val="center"/>
              <w:rPr>
                <w:rFonts w:hint="eastAsia"/>
                <w:color w:val="000000"/>
                <w:lang w:eastAsia="zh-CN"/>
              </w:rPr>
            </w:pPr>
            <w:r>
              <w:rPr>
                <w:rFonts w:hint="eastAsia"/>
                <w:color w:val="000000"/>
                <w:lang w:val="en-US" w:eastAsia="zh-CN"/>
              </w:rPr>
              <w:t>-</w:t>
            </w:r>
          </w:p>
        </w:tc>
        <w:tc>
          <w:tcPr>
            <w:tcW w:w="1519" w:type="dxa"/>
            <w:noWrap w:val="0"/>
            <w:vAlign w:val="center"/>
          </w:tcPr>
          <w:p>
            <w:pPr>
              <w:bidi w:val="0"/>
              <w:jc w:val="center"/>
              <w:rPr>
                <w:rFonts w:hint="default"/>
                <w:color w:val="000000"/>
                <w:lang w:val="en-US" w:eastAsia="zh-CN"/>
              </w:rPr>
            </w:pPr>
            <w:r>
              <w:rPr>
                <w:rFonts w:hint="eastAsia"/>
                <w:color w:val="000000"/>
                <w:lang w:val="en-US" w:eastAsia="zh-CN"/>
              </w:rPr>
              <w:t>0</w:t>
            </w:r>
          </w:p>
        </w:tc>
        <w:tc>
          <w:tcPr>
            <w:tcW w:w="1266" w:type="dxa"/>
            <w:noWrap w:val="0"/>
            <w:vAlign w:val="center"/>
          </w:tcPr>
          <w:p>
            <w:pPr>
              <w:bidi w:val="0"/>
              <w:jc w:val="center"/>
              <w:rPr>
                <w:rFonts w:hint="default"/>
                <w:color w:val="000000"/>
                <w:lang w:val="en-US" w:eastAsia="zh-CN"/>
              </w:rPr>
            </w:pPr>
            <w:r>
              <w:rPr>
                <w:rFonts w:hint="eastAsia"/>
                <w:color w:val="00000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588" w:type="dxa"/>
            <w:vMerge w:val="restart"/>
            <w:noWrap w:val="0"/>
            <w:vAlign w:val="center"/>
          </w:tcPr>
          <w:p>
            <w:pPr>
              <w:pStyle w:val="9"/>
              <w:spacing w:beforeLines="0" w:afterLines="0" w:line="240" w:lineRule="auto"/>
              <w:jc w:val="center"/>
              <w:rPr>
                <w:rFonts w:hint="eastAsia" w:hAnsi="宋体" w:cs="宋体"/>
                <w:snapToGrid w:val="0"/>
                <w:color w:val="000000"/>
                <w:kern w:val="21"/>
                <w:szCs w:val="21"/>
              </w:rPr>
            </w:pPr>
            <w:r>
              <w:rPr>
                <w:rFonts w:hint="eastAsia" w:hAnsi="宋体" w:cs="宋体"/>
                <w:snapToGrid w:val="0"/>
                <w:color w:val="000000"/>
                <w:kern w:val="21"/>
                <w:szCs w:val="21"/>
              </w:rPr>
              <w:t>固体废物</w:t>
            </w:r>
          </w:p>
        </w:tc>
        <w:tc>
          <w:tcPr>
            <w:tcW w:w="1425" w:type="dxa"/>
            <w:noWrap w:val="0"/>
            <w:vAlign w:val="center"/>
          </w:tcPr>
          <w:p>
            <w:pPr>
              <w:keepNext w:val="0"/>
              <w:keepLines w:val="0"/>
              <w:widowControl/>
              <w:suppressLineNumbers w:val="0"/>
              <w:jc w:val="center"/>
              <w:textAlignment w:val="center"/>
              <w:rPr>
                <w:rFonts w:hint="eastAsia" w:hAnsi="宋体" w:eastAsia="宋体" w:cs="宋体"/>
                <w:snapToGrid w:val="0"/>
                <w:color w:val="000000"/>
                <w:kern w:val="21"/>
                <w:szCs w:val="21"/>
                <w:lang w:val="en-US" w:eastAsia="zh-CN"/>
              </w:rPr>
            </w:pPr>
            <w:r>
              <w:rPr>
                <w:rFonts w:hint="eastAsia" w:hAnsi="宋体" w:eastAsia="宋体" w:cs="宋体"/>
                <w:snapToGrid w:val="0"/>
                <w:color w:val="000000"/>
                <w:kern w:val="21"/>
                <w:szCs w:val="21"/>
                <w:lang w:val="en-US" w:eastAsia="zh-CN"/>
              </w:rPr>
              <w:t>生活垃圾</w:t>
            </w:r>
          </w:p>
        </w:tc>
        <w:tc>
          <w:tcPr>
            <w:tcW w:w="1693" w:type="dxa"/>
            <w:noWrap w:val="0"/>
            <w:vAlign w:val="center"/>
          </w:tcPr>
          <w:p>
            <w:pPr>
              <w:pStyle w:val="10"/>
              <w:bidi w:val="0"/>
              <w:rPr>
                <w:rFonts w:hint="eastAsia" w:hAnsi="宋体" w:cs="宋体" w:eastAsiaTheme="minorEastAsia"/>
                <w:snapToGrid w:val="0"/>
                <w:color w:val="000000"/>
                <w:kern w:val="21"/>
                <w:szCs w:val="21"/>
                <w:lang w:val="en-US" w:eastAsia="zh-CN"/>
              </w:rPr>
            </w:pPr>
            <w:r>
              <w:rPr>
                <w:rFonts w:hint="eastAsia" w:hAnsi="宋体" w:cs="宋体"/>
                <w:snapToGrid w:val="0"/>
                <w:color w:val="000000"/>
                <w:kern w:val="21"/>
                <w:szCs w:val="21"/>
                <w:lang w:val="en-US" w:eastAsia="zh-CN"/>
              </w:rPr>
              <w:t>0</w:t>
            </w:r>
          </w:p>
        </w:tc>
        <w:tc>
          <w:tcPr>
            <w:tcW w:w="1276" w:type="dxa"/>
            <w:noWrap w:val="0"/>
            <w:vAlign w:val="center"/>
          </w:tcPr>
          <w:p>
            <w:pPr>
              <w:bidi w:val="0"/>
              <w:jc w:val="center"/>
              <w:rPr>
                <w:rFonts w:hAnsi="宋体" w:cs="宋体"/>
                <w:snapToGrid w:val="0"/>
                <w:color w:val="000000"/>
                <w:kern w:val="21"/>
                <w:szCs w:val="21"/>
              </w:rPr>
            </w:pPr>
            <w:r>
              <w:rPr>
                <w:rFonts w:hint="eastAsia" w:eastAsia="宋体"/>
                <w:color w:val="000000"/>
                <w:lang w:val="en-US" w:eastAsia="zh-CN"/>
              </w:rPr>
              <w:t>0</w:t>
            </w:r>
          </w:p>
        </w:tc>
        <w:tc>
          <w:tcPr>
            <w:tcW w:w="1701" w:type="dxa"/>
            <w:noWrap w:val="0"/>
            <w:vAlign w:val="center"/>
          </w:tcPr>
          <w:p>
            <w:pPr>
              <w:pStyle w:val="10"/>
              <w:bidi w:val="0"/>
              <w:rPr>
                <w:rFonts w:hint="eastAsia" w:eastAsiaTheme="minorEastAsia"/>
                <w:color w:val="000000"/>
                <w:lang w:val="en-US" w:eastAsia="zh-CN"/>
              </w:rPr>
            </w:pPr>
            <w:r>
              <w:rPr>
                <w:rFonts w:hint="eastAsia"/>
                <w:color w:val="000000"/>
                <w:lang w:val="en-US" w:eastAsia="zh-CN"/>
              </w:rPr>
              <w:t>0</w:t>
            </w:r>
          </w:p>
        </w:tc>
        <w:tc>
          <w:tcPr>
            <w:tcW w:w="1559" w:type="dxa"/>
            <w:noWrap w:val="0"/>
            <w:vAlign w:val="center"/>
          </w:tcPr>
          <w:p>
            <w:pPr>
              <w:pStyle w:val="10"/>
              <w:bidi w:val="0"/>
              <w:rPr>
                <w:rFonts w:hint="default" w:eastAsia="宋体"/>
                <w:color w:val="auto"/>
                <w:lang w:val="en-US" w:eastAsia="zh-CN"/>
              </w:rPr>
            </w:pPr>
            <w:r>
              <w:rPr>
                <w:rFonts w:hint="eastAsia" w:eastAsia="宋体"/>
                <w:color w:val="auto"/>
                <w:lang w:val="en-US" w:eastAsia="zh-CN"/>
              </w:rPr>
              <w:t>2.7</w:t>
            </w:r>
          </w:p>
        </w:tc>
        <w:tc>
          <w:tcPr>
            <w:tcW w:w="1761" w:type="dxa"/>
            <w:noWrap w:val="0"/>
            <w:vAlign w:val="center"/>
          </w:tcPr>
          <w:p>
            <w:pPr>
              <w:bidi w:val="0"/>
              <w:jc w:val="center"/>
              <w:rPr>
                <w:rFonts w:hint="default"/>
                <w:color w:val="000000"/>
                <w:lang w:val="en-US"/>
              </w:rPr>
            </w:pPr>
            <w:r>
              <w:rPr>
                <w:rFonts w:hint="eastAsia"/>
                <w:color w:val="000000"/>
                <w:lang w:val="en-US" w:eastAsia="zh-CN"/>
              </w:rPr>
              <w:t>-</w:t>
            </w:r>
          </w:p>
        </w:tc>
        <w:tc>
          <w:tcPr>
            <w:tcW w:w="1519" w:type="dxa"/>
            <w:noWrap w:val="0"/>
            <w:vAlign w:val="center"/>
          </w:tcPr>
          <w:p>
            <w:pPr>
              <w:pStyle w:val="10"/>
              <w:bidi w:val="0"/>
              <w:rPr>
                <w:rFonts w:hint="default" w:ascii="Times New Roman" w:hAnsi="Times New Roman" w:cs="宋体"/>
                <w:color w:val="000000"/>
                <w:kern w:val="2"/>
                <w:sz w:val="21"/>
                <w:szCs w:val="24"/>
                <w:lang w:val="en-US" w:eastAsia="zh-CN" w:bidi="ar-SA"/>
              </w:rPr>
            </w:pPr>
            <w:r>
              <w:rPr>
                <w:rFonts w:hint="eastAsia" w:cs="宋体"/>
                <w:color w:val="000000"/>
                <w:kern w:val="2"/>
                <w:sz w:val="21"/>
                <w:szCs w:val="24"/>
                <w:lang w:val="en-US" w:eastAsia="zh-CN" w:bidi="ar-SA"/>
              </w:rPr>
              <w:t>2.7</w:t>
            </w:r>
          </w:p>
        </w:tc>
        <w:tc>
          <w:tcPr>
            <w:tcW w:w="1266" w:type="dxa"/>
            <w:noWrap w:val="0"/>
            <w:vAlign w:val="center"/>
          </w:tcPr>
          <w:p>
            <w:pPr>
              <w:pStyle w:val="10"/>
              <w:bidi w:val="0"/>
              <w:rPr>
                <w:rFonts w:hint="default" w:eastAsiaTheme="minorEastAsia"/>
                <w:color w:val="000000"/>
                <w:lang w:val="en-US" w:eastAsia="zh-CN"/>
              </w:rPr>
            </w:pPr>
            <w:r>
              <w:rPr>
                <w:rFonts w:hint="eastAsia"/>
                <w:color w:val="000000"/>
                <w:lang w:val="en-US" w:eastAsia="zh-CN"/>
              </w:rPr>
              <w:t>+2.7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588" w:type="dxa"/>
            <w:vMerge w:val="continue"/>
            <w:noWrap w:val="0"/>
            <w:vAlign w:val="center"/>
          </w:tcPr>
          <w:p>
            <w:pPr>
              <w:pStyle w:val="9"/>
              <w:spacing w:beforeLines="0" w:afterLines="0" w:line="240" w:lineRule="auto"/>
              <w:jc w:val="center"/>
              <w:rPr>
                <w:rFonts w:hint="eastAsia" w:hAnsi="宋体" w:cs="宋体"/>
                <w:snapToGrid w:val="0"/>
                <w:color w:val="000000"/>
                <w:kern w:val="21"/>
                <w:szCs w:val="21"/>
              </w:rPr>
            </w:pPr>
          </w:p>
        </w:tc>
        <w:tc>
          <w:tcPr>
            <w:tcW w:w="1425" w:type="dxa"/>
            <w:noWrap w:val="0"/>
            <w:vAlign w:val="center"/>
          </w:tcPr>
          <w:p>
            <w:pPr>
              <w:keepNext w:val="0"/>
              <w:keepLines w:val="0"/>
              <w:widowControl/>
              <w:suppressLineNumbers w:val="0"/>
              <w:jc w:val="center"/>
              <w:textAlignment w:val="center"/>
              <w:rPr>
                <w:rFonts w:hint="eastAsia" w:hAnsi="宋体" w:cs="宋体"/>
                <w:snapToGrid w:val="0"/>
                <w:color w:val="000000"/>
                <w:kern w:val="21"/>
                <w:szCs w:val="21"/>
                <w:lang w:val="en-US" w:eastAsia="zh-CN"/>
              </w:rPr>
            </w:pPr>
            <w:r>
              <w:rPr>
                <w:rFonts w:hint="eastAsia" w:hAnsi="宋体" w:cs="宋体"/>
                <w:snapToGrid w:val="0"/>
                <w:color w:val="000000"/>
                <w:kern w:val="21"/>
                <w:szCs w:val="21"/>
                <w:lang w:val="en-US" w:eastAsia="zh-CN"/>
              </w:rPr>
              <w:t>锅炉炉渣</w:t>
            </w:r>
          </w:p>
        </w:tc>
        <w:tc>
          <w:tcPr>
            <w:tcW w:w="1693" w:type="dxa"/>
            <w:noWrap w:val="0"/>
            <w:vAlign w:val="center"/>
          </w:tcPr>
          <w:p>
            <w:pPr>
              <w:pStyle w:val="10"/>
              <w:bidi w:val="0"/>
              <w:rPr>
                <w:rFonts w:hint="default"/>
                <w:color w:val="000000"/>
                <w:lang w:val="en-US" w:eastAsia="zh-CN"/>
              </w:rPr>
            </w:pPr>
            <w:r>
              <w:rPr>
                <w:rFonts w:hint="eastAsia"/>
                <w:color w:val="000000"/>
                <w:lang w:val="en-US" w:eastAsia="zh-CN"/>
              </w:rPr>
              <w:t>0</w:t>
            </w:r>
          </w:p>
        </w:tc>
        <w:tc>
          <w:tcPr>
            <w:tcW w:w="1276" w:type="dxa"/>
            <w:noWrap w:val="0"/>
            <w:vAlign w:val="center"/>
          </w:tcPr>
          <w:p>
            <w:pPr>
              <w:bidi w:val="0"/>
              <w:jc w:val="center"/>
              <w:rPr>
                <w:rFonts w:hint="eastAsia"/>
                <w:color w:val="000000"/>
                <w:lang w:eastAsia="zh-CN"/>
              </w:rPr>
            </w:pPr>
            <w:r>
              <w:rPr>
                <w:rFonts w:hint="eastAsia" w:eastAsia="宋体"/>
                <w:color w:val="000000"/>
                <w:lang w:val="en-US" w:eastAsia="zh-CN"/>
              </w:rPr>
              <w:t>0</w:t>
            </w:r>
          </w:p>
        </w:tc>
        <w:tc>
          <w:tcPr>
            <w:tcW w:w="1701" w:type="dxa"/>
            <w:noWrap w:val="0"/>
            <w:vAlign w:val="center"/>
          </w:tcPr>
          <w:p>
            <w:pPr>
              <w:pStyle w:val="10"/>
              <w:bidi w:val="0"/>
              <w:rPr>
                <w:rFonts w:hint="default"/>
                <w:color w:val="000000"/>
                <w:lang w:val="en-US" w:eastAsia="zh-CN"/>
              </w:rPr>
            </w:pPr>
            <w:r>
              <w:rPr>
                <w:rFonts w:hint="eastAsia"/>
                <w:color w:val="000000"/>
                <w:lang w:val="en-US" w:eastAsia="zh-CN"/>
              </w:rPr>
              <w:t>0</w:t>
            </w:r>
          </w:p>
        </w:tc>
        <w:tc>
          <w:tcPr>
            <w:tcW w:w="1559" w:type="dxa"/>
            <w:noWrap w:val="0"/>
            <w:vAlign w:val="center"/>
          </w:tcPr>
          <w:p>
            <w:pPr>
              <w:pStyle w:val="10"/>
              <w:bidi w:val="0"/>
              <w:rPr>
                <w:rFonts w:hint="default"/>
                <w:color w:val="auto"/>
                <w:lang w:val="en-US" w:eastAsia="zh-CN"/>
              </w:rPr>
            </w:pPr>
            <w:r>
              <w:rPr>
                <w:rFonts w:hint="eastAsia"/>
                <w:color w:val="auto"/>
                <w:lang w:val="en-US" w:eastAsia="zh-CN"/>
              </w:rPr>
              <w:t>8.11</w:t>
            </w:r>
          </w:p>
        </w:tc>
        <w:tc>
          <w:tcPr>
            <w:tcW w:w="1761" w:type="dxa"/>
            <w:noWrap w:val="0"/>
            <w:vAlign w:val="center"/>
          </w:tcPr>
          <w:p>
            <w:pPr>
              <w:bidi w:val="0"/>
              <w:jc w:val="center"/>
              <w:rPr>
                <w:rFonts w:hint="eastAsia"/>
                <w:color w:val="000000"/>
                <w:lang w:val="en-US" w:eastAsia="zh-CN"/>
              </w:rPr>
            </w:pPr>
            <w:r>
              <w:rPr>
                <w:rFonts w:hint="eastAsia"/>
                <w:color w:val="000000"/>
                <w:lang w:val="en-US" w:eastAsia="zh-CN"/>
              </w:rPr>
              <w:t>-</w:t>
            </w:r>
          </w:p>
        </w:tc>
        <w:tc>
          <w:tcPr>
            <w:tcW w:w="1519" w:type="dxa"/>
            <w:noWrap w:val="0"/>
            <w:vAlign w:val="center"/>
          </w:tcPr>
          <w:p>
            <w:pPr>
              <w:pStyle w:val="10"/>
              <w:bidi w:val="0"/>
              <w:rPr>
                <w:rFonts w:hint="default"/>
                <w:color w:val="000000"/>
                <w:lang w:val="en-US" w:eastAsia="zh-CN"/>
              </w:rPr>
            </w:pPr>
            <w:r>
              <w:rPr>
                <w:rFonts w:hint="eastAsia"/>
                <w:color w:val="000000"/>
                <w:lang w:val="en-US" w:eastAsia="zh-CN"/>
              </w:rPr>
              <w:t>8.11</w:t>
            </w:r>
          </w:p>
        </w:tc>
        <w:tc>
          <w:tcPr>
            <w:tcW w:w="1266" w:type="dxa"/>
            <w:noWrap w:val="0"/>
            <w:vAlign w:val="center"/>
          </w:tcPr>
          <w:p>
            <w:pPr>
              <w:pStyle w:val="10"/>
              <w:bidi w:val="0"/>
              <w:rPr>
                <w:rFonts w:hint="default"/>
                <w:color w:val="000000"/>
                <w:lang w:val="en-US" w:eastAsia="zh-CN"/>
              </w:rPr>
            </w:pPr>
            <w:r>
              <w:rPr>
                <w:rFonts w:hint="eastAsia"/>
                <w:color w:val="000000"/>
                <w:lang w:val="en-US" w:eastAsia="zh-CN"/>
              </w:rPr>
              <w:t>+8.11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588" w:type="dxa"/>
            <w:vMerge w:val="continue"/>
            <w:noWrap w:val="0"/>
            <w:vAlign w:val="center"/>
          </w:tcPr>
          <w:p>
            <w:pPr>
              <w:pStyle w:val="9"/>
              <w:spacing w:beforeLines="0" w:afterLines="0" w:line="240" w:lineRule="auto"/>
              <w:jc w:val="center"/>
              <w:rPr>
                <w:rFonts w:hint="eastAsia" w:hAnsi="宋体" w:cs="宋体"/>
                <w:snapToGrid w:val="0"/>
                <w:color w:val="000000"/>
                <w:kern w:val="21"/>
                <w:szCs w:val="21"/>
              </w:rPr>
            </w:pPr>
          </w:p>
        </w:tc>
        <w:tc>
          <w:tcPr>
            <w:tcW w:w="1425" w:type="dxa"/>
            <w:noWrap w:val="0"/>
            <w:vAlign w:val="center"/>
          </w:tcPr>
          <w:p>
            <w:pPr>
              <w:keepNext w:val="0"/>
              <w:keepLines w:val="0"/>
              <w:widowControl/>
              <w:suppressLineNumbers w:val="0"/>
              <w:jc w:val="center"/>
              <w:textAlignment w:val="center"/>
              <w:rPr>
                <w:rFonts w:hint="eastAsia" w:hAnsi="宋体" w:cs="宋体"/>
                <w:snapToGrid w:val="0"/>
                <w:color w:val="000000"/>
                <w:kern w:val="21"/>
                <w:szCs w:val="21"/>
                <w:lang w:val="en-US" w:eastAsia="zh-CN"/>
              </w:rPr>
            </w:pPr>
            <w:r>
              <w:rPr>
                <w:rFonts w:hint="eastAsia" w:hAnsi="宋体" w:cs="宋体"/>
                <w:snapToGrid w:val="0"/>
                <w:color w:val="000000"/>
                <w:kern w:val="21"/>
                <w:szCs w:val="21"/>
                <w:lang w:val="en-US" w:eastAsia="zh-CN"/>
              </w:rPr>
              <w:t>除尘渣</w:t>
            </w:r>
          </w:p>
        </w:tc>
        <w:tc>
          <w:tcPr>
            <w:tcW w:w="1693" w:type="dxa"/>
            <w:noWrap w:val="0"/>
            <w:vAlign w:val="center"/>
          </w:tcPr>
          <w:p>
            <w:pPr>
              <w:pStyle w:val="10"/>
              <w:bidi w:val="0"/>
              <w:rPr>
                <w:rFonts w:hint="default"/>
                <w:color w:val="000000"/>
                <w:lang w:val="en-US" w:eastAsia="zh-CN"/>
              </w:rPr>
            </w:pPr>
            <w:r>
              <w:rPr>
                <w:rFonts w:hint="eastAsia"/>
                <w:color w:val="000000"/>
                <w:lang w:val="en-US" w:eastAsia="zh-CN"/>
              </w:rPr>
              <w:t>0</w:t>
            </w:r>
          </w:p>
        </w:tc>
        <w:tc>
          <w:tcPr>
            <w:tcW w:w="1276" w:type="dxa"/>
            <w:noWrap w:val="0"/>
            <w:vAlign w:val="center"/>
          </w:tcPr>
          <w:p>
            <w:pPr>
              <w:bidi w:val="0"/>
              <w:jc w:val="center"/>
              <w:rPr>
                <w:rFonts w:hint="default" w:eastAsia="宋体"/>
                <w:color w:val="000000"/>
                <w:lang w:val="en-US" w:eastAsia="zh-CN"/>
              </w:rPr>
            </w:pPr>
            <w:r>
              <w:rPr>
                <w:rFonts w:hint="eastAsia" w:eastAsia="宋体"/>
                <w:color w:val="000000"/>
                <w:lang w:val="en-US" w:eastAsia="zh-CN"/>
              </w:rPr>
              <w:t>0</w:t>
            </w:r>
          </w:p>
        </w:tc>
        <w:tc>
          <w:tcPr>
            <w:tcW w:w="1701" w:type="dxa"/>
            <w:noWrap w:val="0"/>
            <w:vAlign w:val="center"/>
          </w:tcPr>
          <w:p>
            <w:pPr>
              <w:pStyle w:val="10"/>
              <w:bidi w:val="0"/>
              <w:rPr>
                <w:rFonts w:hint="default"/>
                <w:color w:val="000000"/>
                <w:lang w:val="en-US" w:eastAsia="zh-CN"/>
              </w:rPr>
            </w:pPr>
            <w:r>
              <w:rPr>
                <w:rFonts w:hint="eastAsia"/>
                <w:color w:val="000000"/>
                <w:lang w:val="en-US" w:eastAsia="zh-CN"/>
              </w:rPr>
              <w:t>0</w:t>
            </w:r>
          </w:p>
        </w:tc>
        <w:tc>
          <w:tcPr>
            <w:tcW w:w="1559" w:type="dxa"/>
            <w:noWrap w:val="0"/>
            <w:vAlign w:val="center"/>
          </w:tcPr>
          <w:p>
            <w:pPr>
              <w:pStyle w:val="10"/>
              <w:bidi w:val="0"/>
              <w:rPr>
                <w:rFonts w:hint="default"/>
                <w:color w:val="auto"/>
                <w:lang w:val="en-US" w:eastAsia="zh-CN"/>
              </w:rPr>
            </w:pPr>
            <w:r>
              <w:rPr>
                <w:rFonts w:hint="eastAsia"/>
                <w:color w:val="auto"/>
                <w:lang w:val="en-US" w:eastAsia="zh-CN"/>
              </w:rPr>
              <w:t>0.505</w:t>
            </w:r>
          </w:p>
        </w:tc>
        <w:tc>
          <w:tcPr>
            <w:tcW w:w="1761" w:type="dxa"/>
            <w:noWrap w:val="0"/>
            <w:vAlign w:val="center"/>
          </w:tcPr>
          <w:p>
            <w:pPr>
              <w:bidi w:val="0"/>
              <w:jc w:val="center"/>
              <w:rPr>
                <w:rFonts w:hint="default"/>
                <w:color w:val="000000"/>
                <w:lang w:val="en-US" w:eastAsia="zh-CN"/>
              </w:rPr>
            </w:pPr>
            <w:r>
              <w:rPr>
                <w:rFonts w:hint="eastAsia"/>
                <w:color w:val="000000"/>
                <w:lang w:val="en-US" w:eastAsia="zh-CN"/>
              </w:rPr>
              <w:t>-</w:t>
            </w:r>
          </w:p>
        </w:tc>
        <w:tc>
          <w:tcPr>
            <w:tcW w:w="1519" w:type="dxa"/>
            <w:noWrap w:val="0"/>
            <w:vAlign w:val="center"/>
          </w:tcPr>
          <w:p>
            <w:pPr>
              <w:pStyle w:val="10"/>
              <w:bidi w:val="0"/>
              <w:rPr>
                <w:rFonts w:hint="default"/>
                <w:color w:val="000000"/>
                <w:lang w:val="en-US" w:eastAsia="zh-CN"/>
              </w:rPr>
            </w:pPr>
            <w:r>
              <w:rPr>
                <w:rFonts w:hint="eastAsia"/>
                <w:color w:val="auto"/>
                <w:lang w:val="en-US" w:eastAsia="zh-CN"/>
              </w:rPr>
              <w:t>0.505</w:t>
            </w:r>
          </w:p>
        </w:tc>
        <w:tc>
          <w:tcPr>
            <w:tcW w:w="1266" w:type="dxa"/>
            <w:noWrap w:val="0"/>
            <w:vAlign w:val="center"/>
          </w:tcPr>
          <w:p>
            <w:pPr>
              <w:pStyle w:val="10"/>
              <w:bidi w:val="0"/>
              <w:rPr>
                <w:rFonts w:hint="default"/>
                <w:color w:val="000000"/>
                <w:lang w:val="en-US" w:eastAsia="zh-CN"/>
              </w:rPr>
            </w:pPr>
            <w:r>
              <w:rPr>
                <w:rFonts w:hint="eastAsia"/>
                <w:color w:val="auto"/>
                <w:lang w:val="en-US" w:eastAsia="zh-CN"/>
              </w:rPr>
              <w:t>+0.505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588" w:type="dxa"/>
            <w:vMerge w:val="continue"/>
            <w:noWrap w:val="0"/>
            <w:vAlign w:val="center"/>
          </w:tcPr>
          <w:p>
            <w:pPr>
              <w:pStyle w:val="9"/>
              <w:spacing w:beforeLines="0" w:afterLines="0" w:line="240" w:lineRule="auto"/>
              <w:jc w:val="center"/>
              <w:rPr>
                <w:rFonts w:hint="eastAsia" w:hAnsi="宋体" w:cs="宋体"/>
                <w:snapToGrid w:val="0"/>
                <w:color w:val="000000"/>
                <w:kern w:val="21"/>
                <w:szCs w:val="21"/>
              </w:rPr>
            </w:pPr>
          </w:p>
        </w:tc>
        <w:tc>
          <w:tcPr>
            <w:tcW w:w="14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污泥</w:t>
            </w:r>
          </w:p>
        </w:tc>
        <w:tc>
          <w:tcPr>
            <w:tcW w:w="1693" w:type="dxa"/>
            <w:noWrap w:val="0"/>
            <w:vAlign w:val="center"/>
          </w:tcPr>
          <w:p>
            <w:pPr>
              <w:pStyle w:val="10"/>
              <w:bidi w:val="0"/>
              <w:rPr>
                <w:rFonts w:hint="default"/>
                <w:color w:val="000000"/>
                <w:lang w:val="en-US" w:eastAsia="zh-CN"/>
              </w:rPr>
            </w:pPr>
            <w:r>
              <w:rPr>
                <w:rFonts w:hint="eastAsia"/>
                <w:color w:val="000000"/>
                <w:lang w:val="en-US" w:eastAsia="zh-CN"/>
              </w:rPr>
              <w:t>0</w:t>
            </w:r>
          </w:p>
        </w:tc>
        <w:tc>
          <w:tcPr>
            <w:tcW w:w="1276" w:type="dxa"/>
            <w:noWrap w:val="0"/>
            <w:vAlign w:val="center"/>
          </w:tcPr>
          <w:p>
            <w:pPr>
              <w:bidi w:val="0"/>
              <w:jc w:val="center"/>
              <w:rPr>
                <w:rFonts w:hint="default"/>
                <w:color w:val="000000"/>
                <w:lang w:val="en-US" w:eastAsia="zh-CN"/>
              </w:rPr>
            </w:pPr>
            <w:r>
              <w:rPr>
                <w:rFonts w:hint="eastAsia" w:eastAsia="宋体"/>
                <w:color w:val="000000"/>
                <w:lang w:val="en-US" w:eastAsia="zh-CN"/>
              </w:rPr>
              <w:t>0</w:t>
            </w:r>
          </w:p>
        </w:tc>
        <w:tc>
          <w:tcPr>
            <w:tcW w:w="1701" w:type="dxa"/>
            <w:noWrap w:val="0"/>
            <w:vAlign w:val="center"/>
          </w:tcPr>
          <w:p>
            <w:pPr>
              <w:pStyle w:val="10"/>
              <w:bidi w:val="0"/>
              <w:rPr>
                <w:rFonts w:hint="default"/>
                <w:color w:val="000000"/>
                <w:lang w:val="en-US" w:eastAsia="zh-CN"/>
              </w:rPr>
            </w:pPr>
            <w:r>
              <w:rPr>
                <w:rFonts w:hint="eastAsia"/>
                <w:color w:val="000000"/>
                <w:lang w:val="en-US" w:eastAsia="zh-CN"/>
              </w:rPr>
              <w:t>0</w:t>
            </w:r>
          </w:p>
        </w:tc>
        <w:tc>
          <w:tcPr>
            <w:tcW w:w="1559" w:type="dxa"/>
            <w:noWrap w:val="0"/>
            <w:vAlign w:val="center"/>
          </w:tcPr>
          <w:p>
            <w:pPr>
              <w:pStyle w:val="10"/>
              <w:bidi w:val="0"/>
              <w:rPr>
                <w:rFonts w:hint="default"/>
                <w:color w:val="auto"/>
                <w:lang w:val="en-US" w:eastAsia="zh-CN"/>
              </w:rPr>
            </w:pPr>
            <w:r>
              <w:rPr>
                <w:rFonts w:hint="eastAsia"/>
                <w:color w:val="auto"/>
                <w:lang w:val="en-US" w:eastAsia="zh-CN"/>
              </w:rPr>
              <w:t>21.4</w:t>
            </w:r>
          </w:p>
        </w:tc>
        <w:tc>
          <w:tcPr>
            <w:tcW w:w="1761" w:type="dxa"/>
            <w:noWrap w:val="0"/>
            <w:vAlign w:val="center"/>
          </w:tcPr>
          <w:p>
            <w:pPr>
              <w:bidi w:val="0"/>
              <w:jc w:val="center"/>
              <w:rPr>
                <w:rFonts w:hint="default"/>
                <w:color w:val="000000"/>
                <w:lang w:val="en-US" w:eastAsia="zh-CN"/>
              </w:rPr>
            </w:pPr>
            <w:r>
              <w:rPr>
                <w:rFonts w:hint="eastAsia"/>
                <w:color w:val="000000"/>
                <w:lang w:val="en-US" w:eastAsia="zh-CN"/>
              </w:rPr>
              <w:t>-</w:t>
            </w:r>
          </w:p>
        </w:tc>
        <w:tc>
          <w:tcPr>
            <w:tcW w:w="1519" w:type="dxa"/>
            <w:noWrap w:val="0"/>
            <w:vAlign w:val="center"/>
          </w:tcPr>
          <w:p>
            <w:pPr>
              <w:pStyle w:val="10"/>
              <w:bidi w:val="0"/>
              <w:rPr>
                <w:rFonts w:hint="default" w:ascii="Times New Roman" w:hAnsi="Times New Roman" w:cs="宋体"/>
                <w:color w:val="000000"/>
                <w:kern w:val="2"/>
                <w:sz w:val="21"/>
                <w:szCs w:val="24"/>
                <w:lang w:val="en-US" w:eastAsia="zh-CN" w:bidi="ar-SA"/>
              </w:rPr>
            </w:pPr>
            <w:r>
              <w:rPr>
                <w:rFonts w:hint="eastAsia"/>
                <w:color w:val="auto"/>
                <w:lang w:val="en-US" w:eastAsia="zh-CN"/>
              </w:rPr>
              <w:t>21.4</w:t>
            </w:r>
          </w:p>
        </w:tc>
        <w:tc>
          <w:tcPr>
            <w:tcW w:w="1266" w:type="dxa"/>
            <w:noWrap w:val="0"/>
            <w:vAlign w:val="center"/>
          </w:tcPr>
          <w:p>
            <w:pPr>
              <w:pStyle w:val="10"/>
              <w:bidi w:val="0"/>
              <w:rPr>
                <w:rFonts w:hint="default"/>
                <w:color w:val="000000"/>
                <w:lang w:val="en-US" w:eastAsia="zh-CN"/>
              </w:rPr>
            </w:pPr>
            <w:r>
              <w:rPr>
                <w:rFonts w:hint="eastAsia"/>
                <w:color w:val="auto"/>
                <w:lang w:val="en-US" w:eastAsia="zh-CN"/>
              </w:rPr>
              <w:t>+21.4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588" w:type="dxa"/>
            <w:vMerge w:val="continue"/>
            <w:noWrap w:val="0"/>
            <w:vAlign w:val="center"/>
          </w:tcPr>
          <w:p>
            <w:pPr>
              <w:pStyle w:val="9"/>
              <w:spacing w:beforeLines="0" w:afterLines="0" w:line="240" w:lineRule="auto"/>
              <w:rPr>
                <w:rFonts w:hAnsi="宋体" w:cs="宋体"/>
                <w:snapToGrid w:val="0"/>
                <w:color w:val="000000"/>
                <w:kern w:val="21"/>
                <w:szCs w:val="21"/>
              </w:rPr>
            </w:pPr>
          </w:p>
        </w:tc>
        <w:tc>
          <w:tcPr>
            <w:tcW w:w="1425" w:type="dxa"/>
            <w:noWrap w:val="0"/>
            <w:vAlign w:val="center"/>
          </w:tcPr>
          <w:p>
            <w:pPr>
              <w:keepNext w:val="0"/>
              <w:keepLines w:val="0"/>
              <w:widowControl/>
              <w:suppressLineNumbers w:val="0"/>
              <w:jc w:val="center"/>
              <w:textAlignment w:val="center"/>
              <w:rPr>
                <w:rFonts w:hint="eastAsia" w:hAnsi="宋体" w:eastAsia="宋体" w:cs="宋体"/>
                <w:snapToGrid w:val="0"/>
                <w:color w:val="000000"/>
                <w:kern w:val="21"/>
                <w:szCs w:val="21"/>
                <w:lang w:eastAsia="zh-CN"/>
              </w:rPr>
            </w:pPr>
            <w:r>
              <w:rPr>
                <w:rFonts w:hint="eastAsia" w:hAnsi="宋体" w:eastAsia="宋体" w:cs="宋体"/>
                <w:snapToGrid w:val="0"/>
                <w:color w:val="000000"/>
                <w:kern w:val="21"/>
                <w:szCs w:val="21"/>
                <w:lang w:eastAsia="zh-CN"/>
              </w:rPr>
              <w:t>包装废料</w:t>
            </w:r>
          </w:p>
        </w:tc>
        <w:tc>
          <w:tcPr>
            <w:tcW w:w="1693" w:type="dxa"/>
            <w:noWrap w:val="0"/>
            <w:vAlign w:val="center"/>
          </w:tcPr>
          <w:p>
            <w:pPr>
              <w:pStyle w:val="10"/>
              <w:bidi w:val="0"/>
              <w:rPr>
                <w:rFonts w:hint="eastAsia" w:hAnsi="宋体" w:cs="宋体" w:eastAsiaTheme="minorEastAsia"/>
                <w:snapToGrid w:val="0"/>
                <w:color w:val="000000"/>
                <w:kern w:val="21"/>
                <w:szCs w:val="21"/>
                <w:lang w:val="en-US" w:eastAsia="zh-CN"/>
              </w:rPr>
            </w:pPr>
            <w:r>
              <w:rPr>
                <w:rFonts w:hint="eastAsia" w:hAnsi="宋体" w:cs="宋体"/>
                <w:snapToGrid w:val="0"/>
                <w:color w:val="000000"/>
                <w:kern w:val="21"/>
                <w:szCs w:val="21"/>
                <w:lang w:val="en-US" w:eastAsia="zh-CN"/>
              </w:rPr>
              <w:t>0</w:t>
            </w:r>
          </w:p>
        </w:tc>
        <w:tc>
          <w:tcPr>
            <w:tcW w:w="1276" w:type="dxa"/>
            <w:noWrap w:val="0"/>
            <w:vAlign w:val="center"/>
          </w:tcPr>
          <w:p>
            <w:pPr>
              <w:bidi w:val="0"/>
              <w:jc w:val="center"/>
              <w:rPr>
                <w:rFonts w:hAnsi="宋体" w:cs="宋体"/>
                <w:snapToGrid w:val="0"/>
                <w:color w:val="000000"/>
                <w:kern w:val="21"/>
                <w:szCs w:val="21"/>
              </w:rPr>
            </w:pPr>
            <w:r>
              <w:rPr>
                <w:rFonts w:hint="eastAsia" w:eastAsia="宋体"/>
                <w:color w:val="000000"/>
                <w:lang w:val="en-US" w:eastAsia="zh-CN"/>
              </w:rPr>
              <w:t>0</w:t>
            </w:r>
          </w:p>
        </w:tc>
        <w:tc>
          <w:tcPr>
            <w:tcW w:w="1701" w:type="dxa"/>
            <w:noWrap w:val="0"/>
            <w:vAlign w:val="center"/>
          </w:tcPr>
          <w:p>
            <w:pPr>
              <w:pStyle w:val="10"/>
              <w:bidi w:val="0"/>
              <w:rPr>
                <w:rFonts w:hint="eastAsia" w:eastAsiaTheme="minorEastAsia"/>
                <w:color w:val="000000"/>
                <w:lang w:val="en-US" w:eastAsia="zh-CN"/>
              </w:rPr>
            </w:pPr>
            <w:r>
              <w:rPr>
                <w:rFonts w:hint="eastAsia"/>
                <w:color w:val="000000"/>
                <w:lang w:val="en-US" w:eastAsia="zh-CN"/>
              </w:rPr>
              <w:t>0</w:t>
            </w:r>
          </w:p>
        </w:tc>
        <w:tc>
          <w:tcPr>
            <w:tcW w:w="1559" w:type="dxa"/>
            <w:noWrap w:val="0"/>
            <w:vAlign w:val="center"/>
          </w:tcPr>
          <w:p>
            <w:pPr>
              <w:pStyle w:val="10"/>
              <w:bidi w:val="0"/>
              <w:rPr>
                <w:rFonts w:hint="default" w:eastAsia="宋体"/>
                <w:color w:val="auto"/>
                <w:lang w:val="en-US" w:eastAsia="zh-CN"/>
              </w:rPr>
            </w:pPr>
            <w:r>
              <w:rPr>
                <w:rFonts w:hint="eastAsia" w:eastAsia="宋体"/>
                <w:color w:val="auto"/>
                <w:lang w:val="en-US" w:eastAsia="zh-CN"/>
              </w:rPr>
              <w:t>1.7</w:t>
            </w:r>
          </w:p>
        </w:tc>
        <w:tc>
          <w:tcPr>
            <w:tcW w:w="1761" w:type="dxa"/>
            <w:noWrap w:val="0"/>
            <w:vAlign w:val="center"/>
          </w:tcPr>
          <w:p>
            <w:pPr>
              <w:bidi w:val="0"/>
              <w:jc w:val="center"/>
              <w:rPr>
                <w:rFonts w:hint="default"/>
                <w:color w:val="000000"/>
                <w:lang w:val="en-US"/>
              </w:rPr>
            </w:pPr>
            <w:r>
              <w:rPr>
                <w:rFonts w:hint="eastAsia"/>
                <w:color w:val="000000"/>
                <w:lang w:val="en-US" w:eastAsia="zh-CN"/>
              </w:rPr>
              <w:t>-</w:t>
            </w:r>
          </w:p>
        </w:tc>
        <w:tc>
          <w:tcPr>
            <w:tcW w:w="1519" w:type="dxa"/>
            <w:noWrap w:val="0"/>
            <w:vAlign w:val="center"/>
          </w:tcPr>
          <w:p>
            <w:pPr>
              <w:pStyle w:val="10"/>
              <w:bidi w:val="0"/>
              <w:rPr>
                <w:rFonts w:hint="default" w:ascii="Times New Roman" w:hAnsi="Times New Roman" w:cs="宋体"/>
                <w:color w:val="000000"/>
                <w:kern w:val="2"/>
                <w:sz w:val="21"/>
                <w:szCs w:val="24"/>
                <w:lang w:val="en-US" w:eastAsia="zh-CN" w:bidi="ar-SA"/>
              </w:rPr>
            </w:pPr>
            <w:r>
              <w:rPr>
                <w:rFonts w:hint="eastAsia" w:eastAsia="宋体"/>
                <w:color w:val="auto"/>
                <w:lang w:val="en-US" w:eastAsia="zh-CN"/>
              </w:rPr>
              <w:t>1.7</w:t>
            </w:r>
          </w:p>
        </w:tc>
        <w:tc>
          <w:tcPr>
            <w:tcW w:w="1266" w:type="dxa"/>
            <w:noWrap w:val="0"/>
            <w:vAlign w:val="center"/>
          </w:tcPr>
          <w:p>
            <w:pPr>
              <w:pStyle w:val="10"/>
              <w:bidi w:val="0"/>
              <w:rPr>
                <w:rFonts w:hint="eastAsia" w:eastAsiaTheme="minorEastAsia"/>
                <w:color w:val="000000"/>
                <w:lang w:val="en-US" w:eastAsia="zh-CN"/>
              </w:rPr>
            </w:pPr>
            <w:r>
              <w:rPr>
                <w:rFonts w:hint="eastAsia" w:eastAsia="宋体"/>
                <w:color w:val="auto"/>
                <w:lang w:val="en-US" w:eastAsia="zh-CN"/>
              </w:rPr>
              <w:t>+1.7</w:t>
            </w:r>
          </w:p>
        </w:tc>
      </w:tr>
    </w:tbl>
    <w:p>
      <w:pPr>
        <w:pStyle w:val="9"/>
        <w:spacing w:before="192" w:beforeLines="80" w:after="24"/>
        <w:jc w:val="left"/>
        <w:rPr>
          <w:rFonts w:hAnsi="宋体"/>
          <w:snapToGrid w:val="0"/>
          <w:color w:val="000000"/>
          <w:spacing w:val="-6"/>
          <w:kern w:val="21"/>
          <w:szCs w:val="21"/>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color w:val="000000"/>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color w:val="000000"/>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color w:val="000000"/>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color w:val="000000"/>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color w:val="000000"/>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color w:val="000000"/>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color w:val="000000"/>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color w:val="000000"/>
          <w:szCs w:val="21"/>
        </w:rPr>
        <w:t>①</w:t>
      </w:r>
      <w:r>
        <w:rPr>
          <w:rFonts w:hAnsi="宋体"/>
          <w:snapToGrid w:val="0"/>
          <w:color w:val="000000"/>
          <w:spacing w:val="-6"/>
          <w:kern w:val="21"/>
          <w:szCs w:val="21"/>
        </w:rPr>
        <w:fldChar w:fldCharType="end"/>
      </w:r>
    </w:p>
    <w:p>
      <w:pPr>
        <w:bidi w:val="0"/>
        <w:rPr>
          <w:rFonts w:hint="default"/>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5K3pfhcCAAAVBAAADgAAAAAA&#10;AAABACAAAAAfAQAAZHJzL2Uyb0RvYy54bWxQSwUGAAAAAAYABgBZAQAAq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3815FC"/>
    <w:multiLevelType w:val="singleLevel"/>
    <w:tmpl w:val="883815FC"/>
    <w:lvl w:ilvl="0" w:tentative="0">
      <w:start w:val="1"/>
      <w:numFmt w:val="decimal"/>
      <w:suff w:val="nothing"/>
      <w:lvlText w:val="（%1）"/>
      <w:lvlJc w:val="left"/>
    </w:lvl>
  </w:abstractNum>
  <w:abstractNum w:abstractNumId="1">
    <w:nsid w:val="8A259494"/>
    <w:multiLevelType w:val="singleLevel"/>
    <w:tmpl w:val="8A259494"/>
    <w:lvl w:ilvl="0" w:tentative="0">
      <w:start w:val="1"/>
      <w:numFmt w:val="decimal"/>
      <w:suff w:val="nothing"/>
      <w:lvlText w:val="%1、"/>
      <w:lvlJc w:val="left"/>
    </w:lvl>
  </w:abstractNum>
  <w:abstractNum w:abstractNumId="2">
    <w:nsid w:val="9307A9E5"/>
    <w:multiLevelType w:val="singleLevel"/>
    <w:tmpl w:val="9307A9E5"/>
    <w:lvl w:ilvl="0" w:tentative="0">
      <w:start w:val="1"/>
      <w:numFmt w:val="decimal"/>
      <w:lvlText w:val="%1."/>
      <w:lvlJc w:val="left"/>
      <w:pPr>
        <w:tabs>
          <w:tab w:val="left" w:pos="312"/>
        </w:tabs>
      </w:pPr>
    </w:lvl>
  </w:abstractNum>
  <w:abstractNum w:abstractNumId="3">
    <w:nsid w:val="9479F309"/>
    <w:multiLevelType w:val="singleLevel"/>
    <w:tmpl w:val="9479F309"/>
    <w:lvl w:ilvl="0" w:tentative="0">
      <w:start w:val="7"/>
      <w:numFmt w:val="decimal"/>
      <w:suff w:val="nothing"/>
      <w:lvlText w:val="%1、"/>
      <w:lvlJc w:val="left"/>
    </w:lvl>
  </w:abstractNum>
  <w:abstractNum w:abstractNumId="4">
    <w:nsid w:val="97BF9332"/>
    <w:multiLevelType w:val="singleLevel"/>
    <w:tmpl w:val="97BF9332"/>
    <w:lvl w:ilvl="0" w:tentative="0">
      <w:start w:val="1"/>
      <w:numFmt w:val="decimal"/>
      <w:suff w:val="nothing"/>
      <w:lvlText w:val="（%1）"/>
      <w:lvlJc w:val="left"/>
    </w:lvl>
  </w:abstractNum>
  <w:abstractNum w:abstractNumId="5">
    <w:nsid w:val="A53BFAE0"/>
    <w:multiLevelType w:val="singleLevel"/>
    <w:tmpl w:val="A53BFAE0"/>
    <w:lvl w:ilvl="0" w:tentative="0">
      <w:start w:val="1"/>
      <w:numFmt w:val="upperLetter"/>
      <w:suff w:val="nothing"/>
      <w:lvlText w:val="%1-"/>
      <w:lvlJc w:val="left"/>
    </w:lvl>
  </w:abstractNum>
  <w:abstractNum w:abstractNumId="6">
    <w:nsid w:val="AEDE9563"/>
    <w:multiLevelType w:val="singleLevel"/>
    <w:tmpl w:val="AEDE9563"/>
    <w:lvl w:ilvl="0" w:tentative="0">
      <w:start w:val="1"/>
      <w:numFmt w:val="chineseCounting"/>
      <w:suff w:val="nothing"/>
      <w:lvlText w:val="%1、"/>
      <w:lvlJc w:val="left"/>
      <w:rPr>
        <w:rFonts w:hint="eastAsia"/>
      </w:rPr>
    </w:lvl>
  </w:abstractNum>
  <w:abstractNum w:abstractNumId="7">
    <w:nsid w:val="BED33EC5"/>
    <w:multiLevelType w:val="singleLevel"/>
    <w:tmpl w:val="BED33EC5"/>
    <w:lvl w:ilvl="0" w:tentative="0">
      <w:start w:val="1"/>
      <w:numFmt w:val="decimal"/>
      <w:suff w:val="nothing"/>
      <w:lvlText w:val="%1、"/>
      <w:lvlJc w:val="left"/>
    </w:lvl>
  </w:abstractNum>
  <w:abstractNum w:abstractNumId="8">
    <w:nsid w:val="C8ED9F24"/>
    <w:multiLevelType w:val="singleLevel"/>
    <w:tmpl w:val="C8ED9F24"/>
    <w:lvl w:ilvl="0" w:tentative="0">
      <w:start w:val="12"/>
      <w:numFmt w:val="decimal"/>
      <w:suff w:val="nothing"/>
      <w:lvlText w:val="%1、"/>
      <w:lvlJc w:val="left"/>
    </w:lvl>
  </w:abstractNum>
  <w:abstractNum w:abstractNumId="9">
    <w:nsid w:val="CE43D315"/>
    <w:multiLevelType w:val="singleLevel"/>
    <w:tmpl w:val="CE43D315"/>
    <w:lvl w:ilvl="0" w:tentative="0">
      <w:start w:val="1"/>
      <w:numFmt w:val="decimal"/>
      <w:suff w:val="nothing"/>
      <w:lvlText w:val="（%1）"/>
      <w:lvlJc w:val="left"/>
    </w:lvl>
  </w:abstractNum>
  <w:abstractNum w:abstractNumId="10">
    <w:nsid w:val="D07283D3"/>
    <w:multiLevelType w:val="singleLevel"/>
    <w:tmpl w:val="D07283D3"/>
    <w:lvl w:ilvl="0" w:tentative="0">
      <w:start w:val="1"/>
      <w:numFmt w:val="decimal"/>
      <w:suff w:val="nothing"/>
      <w:lvlText w:val="（%1）"/>
      <w:lvlJc w:val="left"/>
    </w:lvl>
  </w:abstractNum>
  <w:abstractNum w:abstractNumId="11">
    <w:nsid w:val="DBC83ABF"/>
    <w:multiLevelType w:val="singleLevel"/>
    <w:tmpl w:val="DBC83ABF"/>
    <w:lvl w:ilvl="0" w:tentative="0">
      <w:start w:val="1"/>
      <w:numFmt w:val="decimal"/>
      <w:suff w:val="nothing"/>
      <w:lvlText w:val="（%1）"/>
      <w:lvlJc w:val="left"/>
    </w:lvl>
  </w:abstractNum>
  <w:abstractNum w:abstractNumId="12">
    <w:nsid w:val="EE2D373B"/>
    <w:multiLevelType w:val="singleLevel"/>
    <w:tmpl w:val="EE2D373B"/>
    <w:lvl w:ilvl="0" w:tentative="0">
      <w:start w:val="1"/>
      <w:numFmt w:val="decimal"/>
      <w:lvlText w:val="%1."/>
      <w:lvlJc w:val="left"/>
      <w:pPr>
        <w:tabs>
          <w:tab w:val="left" w:pos="312"/>
        </w:tabs>
      </w:pPr>
    </w:lvl>
  </w:abstractNum>
  <w:abstractNum w:abstractNumId="13">
    <w:nsid w:val="0B3F929B"/>
    <w:multiLevelType w:val="singleLevel"/>
    <w:tmpl w:val="0B3F929B"/>
    <w:lvl w:ilvl="0" w:tentative="0">
      <w:start w:val="2"/>
      <w:numFmt w:val="upperLetter"/>
      <w:suff w:val="nothing"/>
      <w:lvlText w:val="%1-"/>
      <w:lvlJc w:val="left"/>
    </w:lvl>
  </w:abstractNum>
  <w:abstractNum w:abstractNumId="14">
    <w:nsid w:val="112BF8D6"/>
    <w:multiLevelType w:val="singleLevel"/>
    <w:tmpl w:val="112BF8D6"/>
    <w:lvl w:ilvl="0" w:tentative="0">
      <w:start w:val="1"/>
      <w:numFmt w:val="decimal"/>
      <w:suff w:val="nothing"/>
      <w:lvlText w:val="（%1）"/>
      <w:lvlJc w:val="left"/>
    </w:lvl>
  </w:abstractNum>
  <w:abstractNum w:abstractNumId="15">
    <w:nsid w:val="1715C621"/>
    <w:multiLevelType w:val="singleLevel"/>
    <w:tmpl w:val="1715C621"/>
    <w:lvl w:ilvl="0" w:tentative="0">
      <w:start w:val="1"/>
      <w:numFmt w:val="decimal"/>
      <w:suff w:val="nothing"/>
      <w:lvlText w:val="%1）"/>
      <w:lvlJc w:val="left"/>
    </w:lvl>
  </w:abstractNum>
  <w:abstractNum w:abstractNumId="16">
    <w:nsid w:val="26CD45AF"/>
    <w:multiLevelType w:val="singleLevel"/>
    <w:tmpl w:val="26CD45AF"/>
    <w:lvl w:ilvl="0" w:tentative="0">
      <w:start w:val="1"/>
      <w:numFmt w:val="decimal"/>
      <w:suff w:val="nothing"/>
      <w:lvlText w:val="（%1）"/>
      <w:lvlJc w:val="left"/>
    </w:lvl>
  </w:abstractNum>
  <w:abstractNum w:abstractNumId="17">
    <w:nsid w:val="2766C003"/>
    <w:multiLevelType w:val="singleLevel"/>
    <w:tmpl w:val="2766C003"/>
    <w:lvl w:ilvl="0" w:tentative="0">
      <w:start w:val="2"/>
      <w:numFmt w:val="decimal"/>
      <w:suff w:val="nothing"/>
      <w:lvlText w:val="%1、"/>
      <w:lvlJc w:val="left"/>
    </w:lvl>
  </w:abstractNum>
  <w:abstractNum w:abstractNumId="18">
    <w:nsid w:val="2AB69F06"/>
    <w:multiLevelType w:val="singleLevel"/>
    <w:tmpl w:val="2AB69F06"/>
    <w:lvl w:ilvl="0" w:tentative="0">
      <w:start w:val="1"/>
      <w:numFmt w:val="decimal"/>
      <w:suff w:val="nothing"/>
      <w:lvlText w:val="（%1）"/>
      <w:lvlJc w:val="left"/>
    </w:lvl>
  </w:abstractNum>
  <w:abstractNum w:abstractNumId="19">
    <w:nsid w:val="2B4C7850"/>
    <w:multiLevelType w:val="singleLevel"/>
    <w:tmpl w:val="2B4C7850"/>
    <w:lvl w:ilvl="0" w:tentative="0">
      <w:start w:val="5"/>
      <w:numFmt w:val="chineseCounting"/>
      <w:suff w:val="nothing"/>
      <w:lvlText w:val="%1、"/>
      <w:lvlJc w:val="left"/>
      <w:rPr>
        <w:rFonts w:hint="eastAsia"/>
      </w:rPr>
    </w:lvl>
  </w:abstractNum>
  <w:abstractNum w:abstractNumId="20">
    <w:nsid w:val="41E28782"/>
    <w:multiLevelType w:val="singleLevel"/>
    <w:tmpl w:val="41E28782"/>
    <w:lvl w:ilvl="0" w:tentative="0">
      <w:start w:val="1"/>
      <w:numFmt w:val="decimal"/>
      <w:suff w:val="nothing"/>
      <w:lvlText w:val="（%1）"/>
      <w:lvlJc w:val="left"/>
    </w:lvl>
  </w:abstractNum>
  <w:abstractNum w:abstractNumId="21">
    <w:nsid w:val="451DB910"/>
    <w:multiLevelType w:val="singleLevel"/>
    <w:tmpl w:val="451DB910"/>
    <w:lvl w:ilvl="0" w:tentative="0">
      <w:start w:val="1"/>
      <w:numFmt w:val="decimal"/>
      <w:lvlText w:val="%1."/>
      <w:lvlJc w:val="left"/>
      <w:pPr>
        <w:tabs>
          <w:tab w:val="left" w:pos="312"/>
        </w:tabs>
      </w:pPr>
    </w:lvl>
  </w:abstractNum>
  <w:abstractNum w:abstractNumId="22">
    <w:nsid w:val="486805A8"/>
    <w:multiLevelType w:val="singleLevel"/>
    <w:tmpl w:val="486805A8"/>
    <w:lvl w:ilvl="0" w:tentative="0">
      <w:start w:val="1"/>
      <w:numFmt w:val="decimal"/>
      <w:suff w:val="nothing"/>
      <w:lvlText w:val="（%1）"/>
      <w:lvlJc w:val="left"/>
    </w:lvl>
  </w:abstractNum>
  <w:abstractNum w:abstractNumId="23">
    <w:nsid w:val="4E7B9B5F"/>
    <w:multiLevelType w:val="singleLevel"/>
    <w:tmpl w:val="4E7B9B5F"/>
    <w:lvl w:ilvl="0" w:tentative="0">
      <w:start w:val="1"/>
      <w:numFmt w:val="decimal"/>
      <w:lvlText w:val="%1."/>
      <w:lvlJc w:val="left"/>
      <w:pPr>
        <w:tabs>
          <w:tab w:val="left" w:pos="312"/>
        </w:tabs>
      </w:pPr>
    </w:lvl>
  </w:abstractNum>
  <w:abstractNum w:abstractNumId="24">
    <w:nsid w:val="6B24C171"/>
    <w:multiLevelType w:val="singleLevel"/>
    <w:tmpl w:val="6B24C171"/>
    <w:lvl w:ilvl="0" w:tentative="0">
      <w:start w:val="1"/>
      <w:numFmt w:val="chineseCounting"/>
      <w:suff w:val="nothing"/>
      <w:lvlText w:val="（%1）"/>
      <w:lvlJc w:val="left"/>
      <w:rPr>
        <w:rFonts w:hint="eastAsia"/>
      </w:rPr>
    </w:lvl>
  </w:abstractNum>
  <w:abstractNum w:abstractNumId="25">
    <w:nsid w:val="6DFB7C64"/>
    <w:multiLevelType w:val="singleLevel"/>
    <w:tmpl w:val="6DFB7C64"/>
    <w:lvl w:ilvl="0" w:tentative="0">
      <w:start w:val="1"/>
      <w:numFmt w:val="decimal"/>
      <w:suff w:val="nothing"/>
      <w:lvlText w:val="（%1）"/>
      <w:lvlJc w:val="left"/>
    </w:lvl>
  </w:abstractNum>
  <w:abstractNum w:abstractNumId="26">
    <w:nsid w:val="733CF3A0"/>
    <w:multiLevelType w:val="singleLevel"/>
    <w:tmpl w:val="733CF3A0"/>
    <w:lvl w:ilvl="0" w:tentative="0">
      <w:start w:val="1"/>
      <w:numFmt w:val="decimal"/>
      <w:suff w:val="nothing"/>
      <w:lvlText w:val="%1、"/>
      <w:lvlJc w:val="left"/>
    </w:lvl>
  </w:abstractNum>
  <w:num w:numId="1">
    <w:abstractNumId w:val="17"/>
  </w:num>
  <w:num w:numId="2">
    <w:abstractNumId w:val="1"/>
  </w:num>
  <w:num w:numId="3">
    <w:abstractNumId w:val="22"/>
  </w:num>
  <w:num w:numId="4">
    <w:abstractNumId w:val="2"/>
  </w:num>
  <w:num w:numId="5">
    <w:abstractNumId w:val="12"/>
  </w:num>
  <w:num w:numId="6">
    <w:abstractNumId w:val="23"/>
  </w:num>
  <w:num w:numId="7">
    <w:abstractNumId w:val="21"/>
  </w:num>
  <w:num w:numId="8">
    <w:abstractNumId w:val="3"/>
  </w:num>
  <w:num w:numId="9">
    <w:abstractNumId w:val="8"/>
  </w:num>
  <w:num w:numId="10">
    <w:abstractNumId w:val="25"/>
  </w:num>
  <w:num w:numId="11">
    <w:abstractNumId w:val="20"/>
  </w:num>
  <w:num w:numId="12">
    <w:abstractNumId w:val="14"/>
  </w:num>
  <w:num w:numId="13">
    <w:abstractNumId w:val="18"/>
  </w:num>
  <w:num w:numId="14">
    <w:abstractNumId w:val="16"/>
  </w:num>
  <w:num w:numId="15">
    <w:abstractNumId w:val="10"/>
  </w:num>
  <w:num w:numId="16">
    <w:abstractNumId w:val="24"/>
  </w:num>
  <w:num w:numId="17">
    <w:abstractNumId w:val="0"/>
  </w:num>
  <w:num w:numId="18">
    <w:abstractNumId w:val="26"/>
  </w:num>
  <w:num w:numId="19">
    <w:abstractNumId w:val="9"/>
  </w:num>
  <w:num w:numId="20">
    <w:abstractNumId w:val="13"/>
  </w:num>
  <w:num w:numId="21">
    <w:abstractNumId w:val="5"/>
  </w:num>
  <w:num w:numId="22">
    <w:abstractNumId w:val="15"/>
  </w:num>
  <w:num w:numId="23">
    <w:abstractNumId w:val="11"/>
  </w:num>
  <w:num w:numId="24">
    <w:abstractNumId w:val="7"/>
  </w:num>
  <w:num w:numId="25">
    <w:abstractNumId w:val="4"/>
  </w:num>
  <w:num w:numId="26">
    <w:abstractNumId w:val="19"/>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2IyZmZkZThjNmNkZjkxYzJlYjNmNDVmZGExNjUifQ=="/>
  </w:docVars>
  <w:rsids>
    <w:rsidRoot w:val="00000000"/>
    <w:rsid w:val="001E0741"/>
    <w:rsid w:val="00A566D5"/>
    <w:rsid w:val="00CB12BA"/>
    <w:rsid w:val="01C75ED6"/>
    <w:rsid w:val="029D7CD8"/>
    <w:rsid w:val="033356A8"/>
    <w:rsid w:val="03607B55"/>
    <w:rsid w:val="069B2063"/>
    <w:rsid w:val="09B4599F"/>
    <w:rsid w:val="0B6674D1"/>
    <w:rsid w:val="0F1F5D17"/>
    <w:rsid w:val="11C6216E"/>
    <w:rsid w:val="12AF5192"/>
    <w:rsid w:val="12CB1FE9"/>
    <w:rsid w:val="12E23E98"/>
    <w:rsid w:val="13A95FA7"/>
    <w:rsid w:val="140957DE"/>
    <w:rsid w:val="14B633FC"/>
    <w:rsid w:val="19A2625D"/>
    <w:rsid w:val="1A5979FD"/>
    <w:rsid w:val="1D42117A"/>
    <w:rsid w:val="21830150"/>
    <w:rsid w:val="23421054"/>
    <w:rsid w:val="266903F9"/>
    <w:rsid w:val="29092034"/>
    <w:rsid w:val="2A5F2356"/>
    <w:rsid w:val="2AB44F11"/>
    <w:rsid w:val="30517430"/>
    <w:rsid w:val="318C2305"/>
    <w:rsid w:val="319C46DB"/>
    <w:rsid w:val="342814B8"/>
    <w:rsid w:val="35C46CD1"/>
    <w:rsid w:val="36B71612"/>
    <w:rsid w:val="37A02A88"/>
    <w:rsid w:val="38805DBB"/>
    <w:rsid w:val="3A6C7069"/>
    <w:rsid w:val="3E934622"/>
    <w:rsid w:val="3FC10440"/>
    <w:rsid w:val="40186E12"/>
    <w:rsid w:val="44256385"/>
    <w:rsid w:val="448C5DAC"/>
    <w:rsid w:val="4A726A8B"/>
    <w:rsid w:val="4E7A62C4"/>
    <w:rsid w:val="52B92EE7"/>
    <w:rsid w:val="53B536AF"/>
    <w:rsid w:val="56333213"/>
    <w:rsid w:val="589B4449"/>
    <w:rsid w:val="5A4B6B1B"/>
    <w:rsid w:val="5E8914E6"/>
    <w:rsid w:val="5EB14C55"/>
    <w:rsid w:val="5F667DEB"/>
    <w:rsid w:val="5FEB24B4"/>
    <w:rsid w:val="5FF2787E"/>
    <w:rsid w:val="60AC7BE7"/>
    <w:rsid w:val="61BB43D2"/>
    <w:rsid w:val="669E3207"/>
    <w:rsid w:val="66F916AD"/>
    <w:rsid w:val="6E0D6F00"/>
    <w:rsid w:val="6EC93E13"/>
    <w:rsid w:val="73D643E9"/>
    <w:rsid w:val="757D7C69"/>
    <w:rsid w:val="75AE292B"/>
    <w:rsid w:val="76B05A6D"/>
    <w:rsid w:val="78050331"/>
    <w:rsid w:val="794A4626"/>
    <w:rsid w:val="7EAA6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rFonts w:asciiTheme="minorAscii" w:hAnsiTheme="minorAscii"/>
      <w:kern w:val="0"/>
      <w:sz w:val="18"/>
      <w:szCs w:val="20"/>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10">
    <w:name w:val="报告表表格"/>
    <w:basedOn w:val="1"/>
    <w:qFormat/>
    <w:uiPriority w:val="0"/>
    <w:pPr>
      <w:jc w:val="center"/>
    </w:pPr>
    <w:rPr>
      <w:rFonts w:ascii="Times New Roman" w:hAnsi="Times New Roman" w:cs="宋体"/>
      <w:sz w:val="21"/>
    </w:rPr>
  </w:style>
  <w:style w:type="paragraph" w:customStyle="1" w:styleId="11">
    <w:name w:val="表格内容"/>
    <w:basedOn w:val="1"/>
    <w:next w:val="1"/>
    <w:qFormat/>
    <w:uiPriority w:val="0"/>
    <w:pPr>
      <w:overflowPunct w:val="0"/>
      <w:spacing w:line="240" w:lineRule="auto"/>
      <w:ind w:firstLine="0" w:firstLineChars="0"/>
      <w:jc w:val="center"/>
      <w:textAlignment w:val="baseline"/>
    </w:pPr>
    <w:rPr>
      <w:sz w:val="21"/>
    </w:rPr>
  </w:style>
  <w:style w:type="paragraph" w:customStyle="1" w:styleId="12">
    <w:name w:val="加黑正文"/>
    <w:basedOn w:val="1"/>
    <w:qFormat/>
    <w:uiPriority w:val="0"/>
    <w:pPr>
      <w:topLinePunct/>
      <w:autoSpaceDE w:val="0"/>
      <w:adjustRightInd w:val="0"/>
      <w:spacing w:line="240" w:lineRule="auto"/>
      <w:ind w:firstLine="0" w:firstLineChars="0"/>
      <w:textAlignment w:val="baseline"/>
    </w:pPr>
    <w:rPr>
      <w:b/>
      <w:kern w:val="0"/>
      <w:sz w:val="21"/>
      <w:szCs w:val="20"/>
    </w:rPr>
  </w:style>
  <w:style w:type="paragraph" w:customStyle="1" w:styleId="13">
    <w:name w:val="图表标题"/>
    <w:basedOn w:val="1"/>
    <w:qFormat/>
    <w:uiPriority w:val="0"/>
    <w:pPr>
      <w:spacing w:line="240" w:lineRule="auto"/>
      <w:ind w:firstLine="0" w:firstLineChars="0"/>
      <w:jc w:val="center"/>
    </w:pPr>
    <w:rPr>
      <w:b/>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44330</Words>
  <Characters>48542</Characters>
  <Lines>0</Lines>
  <Paragraphs>0</Paragraphs>
  <TotalTime>80</TotalTime>
  <ScaleCrop>false</ScaleCrop>
  <LinksUpToDate>false</LinksUpToDate>
  <CharactersWithSpaces>48768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2023-08-11T01:29:00Z</dcterms:created>
  <dc:creator>Administrator</dc:creator>
  <cp:lastModifiedBy>缘缘</cp:lastModifiedBy>
  <dcterms:modified xsi:type="dcterms:W3CDTF">2024-10-16T09:08:59Z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F115C245F36F420488DF51316369AA13_12</vt:lpwstr>
  </property>
</Properties>
</file>