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FCDB3F">
      <w:pPr>
        <w:spacing w:line="579" w:lineRule="exact"/>
        <w:jc w:val="center"/>
        <w:rPr>
          <w:rFonts w:hint="eastAsia" w:ascii="方正小标宋简体" w:hAnsi="方正小标宋简体" w:eastAsia="方正小标宋简体" w:cs="方正小标宋简体"/>
          <w:kern w:val="3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30"/>
          <w:sz w:val="44"/>
          <w:szCs w:val="44"/>
        </w:rPr>
        <w:t>洱海源廉洁·法治文化主题公园项目</w:t>
      </w:r>
    </w:p>
    <w:p w14:paraId="5F73E676">
      <w:pPr>
        <w:spacing w:line="579" w:lineRule="exact"/>
        <w:jc w:val="center"/>
        <w:rPr>
          <w:rFonts w:hint="eastAsia" w:ascii="方正小标宋简体" w:hAnsi="方正小标宋简体" w:eastAsia="方正小标宋简体" w:cs="方正小标宋简体"/>
          <w:kern w:val="3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30"/>
          <w:sz w:val="44"/>
          <w:szCs w:val="44"/>
        </w:rPr>
        <w:t>绩效评价报告</w:t>
      </w:r>
    </w:p>
    <w:p w14:paraId="7C5D3041">
      <w:pPr>
        <w:spacing w:line="579" w:lineRule="exact"/>
        <w:jc w:val="center"/>
        <w:rPr>
          <w:rFonts w:hint="eastAsia" w:ascii="仿宋" w:hAnsi="仿宋" w:eastAsia="仿宋" w:cs="仿宋"/>
          <w:kern w:val="30"/>
          <w:sz w:val="30"/>
          <w:szCs w:val="30"/>
          <w:lang w:bidi="ar"/>
        </w:rPr>
      </w:pPr>
    </w:p>
    <w:p w14:paraId="1E112354">
      <w:pPr>
        <w:spacing w:line="579" w:lineRule="exact"/>
        <w:ind w:firstLine="600" w:firstLineChars="200"/>
        <w:rPr>
          <w:rFonts w:hint="eastAsia" w:ascii="仿宋" w:hAnsi="仿宋" w:eastAsia="仿宋" w:cs="仿宋"/>
          <w:kern w:val="30"/>
          <w:sz w:val="30"/>
          <w:szCs w:val="30"/>
          <w:lang w:bidi="ar"/>
        </w:rPr>
      </w:pPr>
      <w:r>
        <w:rPr>
          <w:rFonts w:hint="eastAsia" w:ascii="仿宋" w:hAnsi="仿宋" w:eastAsia="仿宋" w:cs="仿宋"/>
          <w:kern w:val="30"/>
          <w:sz w:val="30"/>
          <w:szCs w:val="30"/>
          <w:lang w:bidi="ar"/>
        </w:rPr>
        <w:t>根据《云南省财政厅关于印发&lt;云南省项目支出绩效评价管理办法&gt;的通知》（云财绩〔2020〕11号）、《洱源县财政局关于开展2024年预算支出财政绩效评价的通知》（洱财绩〔2024〕2号）的要求，云南永盛会计师事务所接受大理白族自治州洱源县财政局（以下简称“洱源县财政局”）委托，于2024年8月至10月对洱海源廉洁·法治文化主题公园项目开展绩效评价。现将评价情况报告如下：</w:t>
      </w:r>
    </w:p>
    <w:p w14:paraId="12850EC8">
      <w:pPr>
        <w:overflowPunct w:val="0"/>
        <w:spacing w:line="579" w:lineRule="exact"/>
        <w:ind w:firstLine="629"/>
        <w:rPr>
          <w:rFonts w:hint="eastAsia" w:ascii="黑体" w:hAnsi="黑体" w:eastAsia="黑体" w:cs="Times New Roman"/>
          <w:kern w:val="30"/>
          <w:sz w:val="30"/>
          <w:szCs w:val="30"/>
        </w:rPr>
      </w:pPr>
      <w:r>
        <w:rPr>
          <w:rFonts w:hint="eastAsia" w:ascii="黑体" w:hAnsi="黑体" w:eastAsia="黑体" w:cs="Times New Roman"/>
          <w:kern w:val="30"/>
          <w:sz w:val="30"/>
          <w:szCs w:val="30"/>
        </w:rPr>
        <w:t>一、基本情况</w:t>
      </w:r>
    </w:p>
    <w:p w14:paraId="1594CA27">
      <w:pPr>
        <w:spacing w:line="579" w:lineRule="exact"/>
        <w:ind w:firstLine="600" w:firstLineChars="200"/>
        <w:rPr>
          <w:rFonts w:hint="eastAsia" w:ascii="楷体" w:hAnsi="楷体" w:eastAsia="楷体" w:cs="楷体"/>
          <w:kern w:val="30"/>
          <w:sz w:val="30"/>
          <w:szCs w:val="30"/>
        </w:rPr>
      </w:pPr>
      <w:r>
        <w:rPr>
          <w:rFonts w:hint="eastAsia" w:ascii="楷体" w:hAnsi="楷体" w:eastAsia="楷体" w:cs="楷体"/>
          <w:kern w:val="30"/>
          <w:sz w:val="30"/>
          <w:szCs w:val="30"/>
        </w:rPr>
        <w:t>（一）项目概况</w:t>
      </w:r>
    </w:p>
    <w:p w14:paraId="33C055DF">
      <w:pPr>
        <w:numPr>
          <w:ilvl w:val="255"/>
          <w:numId w:val="0"/>
        </w:numPr>
        <w:overflowPunct w:val="0"/>
        <w:spacing w:line="579" w:lineRule="exact"/>
        <w:ind w:firstLine="600" w:firstLineChars="200"/>
        <w:rPr>
          <w:rFonts w:hint="eastAsia" w:ascii="仿宋" w:hAnsi="仿宋" w:eastAsia="仿宋" w:cs="Times New Roman"/>
          <w:kern w:val="30"/>
          <w:sz w:val="30"/>
          <w:szCs w:val="30"/>
        </w:rPr>
      </w:pPr>
      <w:r>
        <w:rPr>
          <w:rFonts w:hint="eastAsia" w:ascii="仿宋" w:hAnsi="仿宋" w:eastAsia="仿宋" w:cs="Times New Roman"/>
          <w:kern w:val="30"/>
          <w:sz w:val="30"/>
          <w:szCs w:val="30"/>
        </w:rPr>
        <w:t>为了贯彻落实中共中央《关于加强新时代廉洁文化建设的意见》精神，把加强廉洁文化建设作为一体推进不敢腐、不能腐、不想腐的基础性工程抓紧抓实抓好。通过对洱源历史文献、文物古迹、革命旧址的保护和利用，挖掘廉洁文化资源，打造街区廉洁文化景观，教育引导全县党员干部正心修身，守住为政之本，以实际行动守护廉洁文化根脉。贯彻落实中共中央办公厅、国务院办公厅印发《关于加强社会主义法治文化建设的意见》精神，深入学习宣传贯彻习近平法治思想，以“法治洱源”的文化景观作为表现形式，为切实提高全民族法治素养和道德素质，全面依法治国提供坚强思想保证和强大精神动力。</w:t>
      </w:r>
    </w:p>
    <w:p w14:paraId="74AB1BF5">
      <w:pPr>
        <w:spacing w:line="579" w:lineRule="exact"/>
        <w:ind w:firstLine="600" w:firstLineChars="200"/>
        <w:rPr>
          <w:rFonts w:hint="eastAsia" w:ascii="楷体" w:hAnsi="楷体" w:eastAsia="楷体" w:cs="楷体"/>
          <w:kern w:val="30"/>
          <w:sz w:val="30"/>
          <w:szCs w:val="30"/>
        </w:rPr>
      </w:pPr>
      <w:r>
        <w:rPr>
          <w:rFonts w:hint="eastAsia" w:ascii="楷体" w:hAnsi="楷体" w:eastAsia="楷体" w:cs="楷体"/>
          <w:kern w:val="30"/>
          <w:sz w:val="30"/>
          <w:szCs w:val="30"/>
        </w:rPr>
        <w:t>（二）预算批复及资金使用情况</w:t>
      </w:r>
    </w:p>
    <w:p w14:paraId="635C7EF0">
      <w:pPr>
        <w:widowControl/>
        <w:overflowPunct w:val="0"/>
        <w:spacing w:line="579" w:lineRule="exact"/>
        <w:ind w:firstLine="600" w:firstLineChars="200"/>
        <w:textAlignment w:val="center"/>
        <w:rPr>
          <w:rFonts w:hint="eastAsia" w:ascii="仿宋" w:hAnsi="仿宋" w:eastAsia="仿宋" w:cs="仿宋"/>
          <w:kern w:val="30"/>
          <w:sz w:val="30"/>
          <w:szCs w:val="30"/>
          <w:lang w:bidi="ar"/>
        </w:rPr>
      </w:pPr>
      <w:r>
        <w:rPr>
          <w:rFonts w:hint="eastAsia" w:ascii="仿宋" w:hAnsi="仿宋" w:eastAsia="仿宋" w:cs="仿宋"/>
          <w:kern w:val="30"/>
          <w:sz w:val="30"/>
          <w:szCs w:val="30"/>
          <w:lang w:bidi="ar"/>
        </w:rPr>
        <w:t>2023年2月9日，《洱源县发展和改革局关于洱海源廉洁·法治文化主题公园建设项目的立项批复》(洱发改投资〔2023〕3号)同意中共洱源县纪委的项目报送申请；文件批复资金218.55万元。2023年9月26日，《洱源县财政局关于下达洱海源廉洁·法治文化主题公园项目建设资金的通知》(洱财行〔2023〕76号)，下达洱源县纪律检查委员会洱海源廉洁·法治文化主题公园项目建设资金220万元。</w:t>
      </w:r>
      <w:bookmarkStart w:id="0" w:name="_GoBack"/>
      <w:bookmarkEnd w:id="0"/>
      <w:r>
        <w:rPr>
          <w:rFonts w:hint="eastAsia" w:ascii="仿宋" w:hAnsi="仿宋" w:eastAsia="仿宋" w:cs="仿宋"/>
          <w:kern w:val="30"/>
          <w:sz w:val="30"/>
          <w:szCs w:val="30"/>
          <w:lang w:eastAsia="zh-CN" w:bidi="ar"/>
        </w:rPr>
        <w:t>截至</w:t>
      </w:r>
      <w:r>
        <w:rPr>
          <w:rFonts w:hint="eastAsia" w:ascii="仿宋" w:hAnsi="仿宋" w:eastAsia="仿宋" w:cs="仿宋"/>
          <w:kern w:val="30"/>
          <w:sz w:val="30"/>
          <w:szCs w:val="30"/>
          <w:lang w:bidi="ar"/>
        </w:rPr>
        <w:t>2023年12月31日，项目前期经费支出13万元，项目建设费用支出168.92万元，项目专项资金支出181.92万元，预算执行率82.69%，结余资金38.08万元，结余资金已于2023年底上缴县级财政。</w:t>
      </w:r>
    </w:p>
    <w:p w14:paraId="6E7E9D9E">
      <w:pPr>
        <w:spacing w:line="579" w:lineRule="exact"/>
        <w:ind w:firstLine="600" w:firstLineChars="200"/>
        <w:rPr>
          <w:rFonts w:hint="eastAsia" w:ascii="楷体" w:hAnsi="楷体" w:eastAsia="楷体" w:cs="楷体"/>
          <w:kern w:val="30"/>
          <w:sz w:val="30"/>
          <w:szCs w:val="30"/>
        </w:rPr>
      </w:pPr>
      <w:r>
        <w:rPr>
          <w:rFonts w:hint="eastAsia" w:ascii="楷体" w:hAnsi="楷体" w:eastAsia="楷体" w:cs="楷体"/>
          <w:kern w:val="30"/>
          <w:sz w:val="30"/>
          <w:szCs w:val="30"/>
        </w:rPr>
        <w:t>（三）实施内容</w:t>
      </w:r>
    </w:p>
    <w:p w14:paraId="5CD9E866">
      <w:pPr>
        <w:spacing w:line="579" w:lineRule="exact"/>
        <w:ind w:firstLine="600" w:firstLineChars="200"/>
        <w:rPr>
          <w:rFonts w:hint="eastAsia" w:ascii="仿宋" w:hAnsi="仿宋" w:eastAsia="仿宋" w:cs="仿宋"/>
          <w:kern w:val="30"/>
          <w:sz w:val="30"/>
          <w:szCs w:val="30"/>
        </w:rPr>
      </w:pPr>
      <w:r>
        <w:rPr>
          <w:rFonts w:hint="eastAsia" w:ascii="仿宋" w:hAnsi="仿宋" w:eastAsia="仿宋" w:cs="仿宋"/>
          <w:kern w:val="30"/>
          <w:sz w:val="30"/>
          <w:szCs w:val="30"/>
        </w:rPr>
        <w:t>洱源县“廉洁·法治文化主题公园——德源公园”于2023年4月16日开工，于7月5日正式开园，具体实施内容：</w:t>
      </w:r>
    </w:p>
    <w:p w14:paraId="579C313E">
      <w:pPr>
        <w:spacing w:line="579" w:lineRule="exact"/>
        <w:ind w:firstLine="600" w:firstLineChars="200"/>
        <w:rPr>
          <w:rFonts w:hint="eastAsia" w:ascii="仿宋" w:hAnsi="仿宋" w:eastAsia="仿宋" w:cs="仿宋"/>
          <w:kern w:val="30"/>
          <w:sz w:val="30"/>
          <w:szCs w:val="30"/>
        </w:rPr>
      </w:pPr>
      <w:r>
        <w:rPr>
          <w:rFonts w:hint="eastAsia" w:ascii="仿宋" w:hAnsi="仿宋" w:eastAsia="仿宋" w:cs="仿宋"/>
          <w:kern w:val="30"/>
          <w:sz w:val="30"/>
          <w:szCs w:val="30"/>
        </w:rPr>
        <w:t>1.生态洱源篇：起点从滨河大道环岛处开始，至灵杰路与宁新路交界处止，长约160米。该路段含公园名称景观石1个、公园简介景观造型1个、公园主题水体景观1个、生态洱源景观造型1个、“绿水青山就是金山银山”景观造型1个、照壁1个、平面索引1个、小景观石7个。</w:t>
      </w:r>
    </w:p>
    <w:p w14:paraId="04C39779">
      <w:pPr>
        <w:spacing w:line="579" w:lineRule="exact"/>
        <w:ind w:firstLine="600" w:firstLineChars="200"/>
        <w:rPr>
          <w:rFonts w:hint="eastAsia" w:ascii="仿宋" w:hAnsi="仿宋" w:eastAsia="仿宋" w:cs="仿宋"/>
          <w:kern w:val="30"/>
          <w:sz w:val="30"/>
          <w:szCs w:val="30"/>
        </w:rPr>
      </w:pPr>
      <w:r>
        <w:rPr>
          <w:rFonts w:hint="eastAsia" w:ascii="仿宋" w:hAnsi="仿宋" w:eastAsia="仿宋" w:cs="仿宋"/>
          <w:kern w:val="30"/>
          <w:sz w:val="30"/>
          <w:szCs w:val="30"/>
        </w:rPr>
        <w:t>2.廉洁洱源篇：该路段廉洁文化设施包括平面索引1个、廉洁洱源主题景观造型1个、休息区2个、照壁2个、水体景观3个、网红打卡点(清源洞)1个、小景观造型8个、洗心碑雕塑景观1个、小景观石14个等。</w:t>
      </w:r>
    </w:p>
    <w:p w14:paraId="0A71ADD6">
      <w:pPr>
        <w:spacing w:line="579" w:lineRule="exact"/>
        <w:ind w:firstLine="600" w:firstLineChars="200"/>
        <w:rPr>
          <w:rFonts w:hint="eastAsia" w:ascii="仿宋" w:hAnsi="仿宋" w:eastAsia="仿宋" w:cs="仿宋"/>
          <w:kern w:val="30"/>
          <w:sz w:val="30"/>
          <w:szCs w:val="30"/>
        </w:rPr>
      </w:pPr>
      <w:r>
        <w:rPr>
          <w:rFonts w:hint="eastAsia" w:ascii="仿宋" w:hAnsi="仿宋" w:eastAsia="仿宋" w:cs="仿宋"/>
          <w:kern w:val="30"/>
          <w:sz w:val="30"/>
          <w:szCs w:val="30"/>
        </w:rPr>
        <w:t>3.法治洱源篇：该篇章共有平面索引1个、法治洱源主题景观造型1个、休息区3个、照壁3个、法文化景观造型3个、水体景观3个、高洁坊牌坊景观造型1个、小景观石10个等。</w:t>
      </w:r>
    </w:p>
    <w:p w14:paraId="4626B2E6">
      <w:pPr>
        <w:overflowPunct w:val="0"/>
        <w:spacing w:line="579" w:lineRule="exact"/>
        <w:ind w:firstLine="629"/>
        <w:rPr>
          <w:rFonts w:hint="eastAsia" w:ascii="黑体" w:hAnsi="黑体" w:eastAsia="黑体" w:cs="Times New Roman"/>
          <w:kern w:val="30"/>
          <w:sz w:val="30"/>
          <w:szCs w:val="30"/>
        </w:rPr>
      </w:pPr>
      <w:r>
        <w:rPr>
          <w:rFonts w:hint="eastAsia" w:ascii="黑体" w:hAnsi="黑体" w:eastAsia="黑体" w:cs="Times New Roman"/>
          <w:kern w:val="30"/>
          <w:sz w:val="30"/>
          <w:szCs w:val="30"/>
        </w:rPr>
        <w:t>二、绩效评价综合结论</w:t>
      </w:r>
    </w:p>
    <w:p w14:paraId="55A9F852">
      <w:pPr>
        <w:numPr>
          <w:ilvl w:val="255"/>
          <w:numId w:val="0"/>
        </w:numPr>
        <w:spacing w:line="579" w:lineRule="exact"/>
        <w:ind w:firstLine="600" w:firstLineChars="200"/>
        <w:rPr>
          <w:rFonts w:hint="eastAsia" w:ascii="仿宋" w:hAnsi="仿宋" w:eastAsia="仿宋" w:cs="Times New Roman"/>
          <w:kern w:val="30"/>
          <w:sz w:val="30"/>
          <w:szCs w:val="30"/>
          <w:lang w:val="zh-CN"/>
        </w:rPr>
      </w:pPr>
      <w:r>
        <w:rPr>
          <w:rFonts w:hint="eastAsia" w:ascii="仿宋" w:hAnsi="仿宋" w:eastAsia="仿宋" w:cs="Times New Roman"/>
          <w:kern w:val="30"/>
          <w:sz w:val="30"/>
          <w:szCs w:val="30"/>
          <w:lang w:val="zh-CN"/>
        </w:rPr>
        <w:t>对洱海源廉洁·法治文化主题公园项目绩效评价得分84.78分，评价等级为“良”。一级指标具体得分情况详见下表：</w:t>
      </w:r>
    </w:p>
    <w:p w14:paraId="74A848AA">
      <w:pPr>
        <w:tabs>
          <w:tab w:val="center" w:pos="4153"/>
          <w:tab w:val="right" w:pos="8306"/>
        </w:tabs>
        <w:snapToGrid w:val="0"/>
        <w:jc w:val="center"/>
        <w:rPr>
          <w:rFonts w:hint="eastAsia" w:ascii="黑体" w:hAnsi="黑体" w:eastAsia="黑体" w:cs="Times New Roman"/>
          <w:sz w:val="24"/>
          <w:szCs w:val="24"/>
        </w:rPr>
      </w:pPr>
      <w:r>
        <w:rPr>
          <w:rFonts w:hint="eastAsia" w:ascii="黑体" w:hAnsi="黑体" w:eastAsia="黑体" w:cs="Times New Roman"/>
          <w:sz w:val="24"/>
          <w:szCs w:val="24"/>
        </w:rPr>
        <w:t>表：绩效评价得分情况表</w:t>
      </w:r>
    </w:p>
    <w:tbl>
      <w:tblPr>
        <w:tblStyle w:val="4"/>
        <w:tblW w:w="88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2214"/>
        <w:gridCol w:w="2213"/>
        <w:gridCol w:w="2213"/>
        <w:gridCol w:w="2213"/>
      </w:tblGrid>
      <w:tr w14:paraId="751B48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01" w:hRule="atLeast"/>
          <w:tblHeader/>
          <w:jc w:val="center"/>
        </w:trPr>
        <w:tc>
          <w:tcPr>
            <w:tcW w:w="2214" w:type="dxa"/>
            <w:tcBorders>
              <w:top w:val="single" w:color="auto" w:sz="4" w:space="0"/>
            </w:tcBorders>
            <w:vAlign w:val="center"/>
          </w:tcPr>
          <w:p w14:paraId="76F88AA8">
            <w:pPr>
              <w:snapToGrid w:val="0"/>
              <w:jc w:val="center"/>
              <w:rPr>
                <w:rFonts w:hint="eastAsia" w:ascii="仿宋" w:hAnsi="仿宋" w:eastAsia="仿宋" w:cs="宋体"/>
                <w:b/>
                <w:bCs/>
                <w:spacing w:val="6"/>
                <w:kern w:val="3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spacing w:val="6"/>
                <w:kern w:val="30"/>
                <w:sz w:val="20"/>
                <w:szCs w:val="20"/>
              </w:rPr>
              <w:t>一级指标</w:t>
            </w:r>
          </w:p>
        </w:tc>
        <w:tc>
          <w:tcPr>
            <w:tcW w:w="2213" w:type="dxa"/>
            <w:tcBorders>
              <w:top w:val="single" w:color="auto" w:sz="4" w:space="0"/>
            </w:tcBorders>
            <w:vAlign w:val="center"/>
          </w:tcPr>
          <w:p w14:paraId="37EC3443">
            <w:pPr>
              <w:snapToGrid w:val="0"/>
              <w:jc w:val="center"/>
              <w:rPr>
                <w:rFonts w:hint="eastAsia" w:ascii="仿宋" w:hAnsi="仿宋" w:eastAsia="仿宋" w:cs="宋体"/>
                <w:b/>
                <w:bCs/>
                <w:spacing w:val="6"/>
                <w:kern w:val="3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spacing w:val="6"/>
                <w:kern w:val="30"/>
                <w:sz w:val="20"/>
                <w:szCs w:val="20"/>
              </w:rPr>
              <w:t>指标分值</w:t>
            </w:r>
          </w:p>
        </w:tc>
        <w:tc>
          <w:tcPr>
            <w:tcW w:w="2213" w:type="dxa"/>
            <w:tcBorders>
              <w:top w:val="single" w:color="auto" w:sz="4" w:space="0"/>
            </w:tcBorders>
            <w:vAlign w:val="center"/>
          </w:tcPr>
          <w:p w14:paraId="7B9DB119">
            <w:pPr>
              <w:snapToGrid w:val="0"/>
              <w:jc w:val="center"/>
              <w:rPr>
                <w:rFonts w:hint="eastAsia" w:ascii="仿宋" w:hAnsi="仿宋" w:eastAsia="仿宋" w:cs="宋体"/>
                <w:b/>
                <w:bCs/>
                <w:spacing w:val="6"/>
                <w:kern w:val="3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spacing w:val="6"/>
                <w:kern w:val="30"/>
                <w:sz w:val="20"/>
                <w:szCs w:val="20"/>
              </w:rPr>
              <w:t>评价得分</w:t>
            </w:r>
          </w:p>
        </w:tc>
        <w:tc>
          <w:tcPr>
            <w:tcW w:w="2213" w:type="dxa"/>
            <w:tcBorders>
              <w:top w:val="single" w:color="auto" w:sz="4" w:space="0"/>
            </w:tcBorders>
            <w:vAlign w:val="center"/>
          </w:tcPr>
          <w:p w14:paraId="6BA00636">
            <w:pPr>
              <w:snapToGrid w:val="0"/>
              <w:jc w:val="center"/>
              <w:rPr>
                <w:rFonts w:hint="eastAsia" w:ascii="仿宋" w:hAnsi="仿宋" w:eastAsia="仿宋" w:cs="宋体"/>
                <w:b/>
                <w:bCs/>
                <w:spacing w:val="6"/>
                <w:kern w:val="3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spacing w:val="6"/>
                <w:kern w:val="30"/>
                <w:sz w:val="20"/>
                <w:szCs w:val="20"/>
              </w:rPr>
              <w:t>得分率</w:t>
            </w:r>
          </w:p>
        </w:tc>
      </w:tr>
      <w:tr w14:paraId="6F856C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13" w:hRule="atLeast"/>
          <w:jc w:val="center"/>
        </w:trPr>
        <w:tc>
          <w:tcPr>
            <w:tcW w:w="2214" w:type="dxa"/>
            <w:vAlign w:val="center"/>
          </w:tcPr>
          <w:p w14:paraId="32C555DD">
            <w:pPr>
              <w:snapToGrid w:val="0"/>
              <w:jc w:val="center"/>
              <w:rPr>
                <w:rFonts w:hint="eastAsia" w:ascii="仿宋" w:hAnsi="仿宋" w:eastAsia="仿宋" w:cs="宋体"/>
                <w:spacing w:val="6"/>
                <w:kern w:val="3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pacing w:val="6"/>
                <w:kern w:val="30"/>
                <w:sz w:val="20"/>
                <w:szCs w:val="20"/>
              </w:rPr>
              <w:t>决策</w:t>
            </w:r>
          </w:p>
        </w:tc>
        <w:tc>
          <w:tcPr>
            <w:tcW w:w="2213" w:type="dxa"/>
            <w:vAlign w:val="center"/>
          </w:tcPr>
          <w:p w14:paraId="577BD454">
            <w:pPr>
              <w:snapToGrid w:val="0"/>
              <w:jc w:val="center"/>
              <w:rPr>
                <w:rFonts w:hint="eastAsia" w:ascii="仿宋" w:hAnsi="仿宋" w:eastAsia="仿宋" w:cs="宋体"/>
                <w:spacing w:val="6"/>
                <w:kern w:val="30"/>
                <w:sz w:val="20"/>
                <w:szCs w:val="20"/>
              </w:rPr>
            </w:pPr>
            <w:r>
              <w:rPr>
                <w:rFonts w:ascii="仿宋" w:hAnsi="仿宋" w:eastAsia="仿宋" w:cs="宋体"/>
                <w:spacing w:val="6"/>
                <w:kern w:val="30"/>
                <w:sz w:val="20"/>
                <w:szCs w:val="20"/>
              </w:rPr>
              <w:t>15</w:t>
            </w:r>
          </w:p>
        </w:tc>
        <w:tc>
          <w:tcPr>
            <w:tcW w:w="2213" w:type="dxa"/>
            <w:vAlign w:val="center"/>
          </w:tcPr>
          <w:p w14:paraId="448D7A93">
            <w:pPr>
              <w:snapToGrid w:val="0"/>
              <w:jc w:val="center"/>
              <w:rPr>
                <w:rFonts w:hint="eastAsia" w:ascii="仿宋" w:hAnsi="仿宋" w:eastAsia="仿宋" w:cs="宋体"/>
                <w:spacing w:val="6"/>
                <w:kern w:val="3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pacing w:val="6"/>
                <w:kern w:val="30"/>
                <w:sz w:val="20"/>
                <w:szCs w:val="20"/>
              </w:rPr>
              <w:t>13.00</w:t>
            </w:r>
          </w:p>
        </w:tc>
        <w:tc>
          <w:tcPr>
            <w:tcW w:w="2213" w:type="dxa"/>
            <w:vAlign w:val="center"/>
          </w:tcPr>
          <w:p w14:paraId="02A42E00">
            <w:pPr>
              <w:snapToGrid w:val="0"/>
              <w:jc w:val="center"/>
              <w:rPr>
                <w:rFonts w:hint="eastAsia" w:ascii="仿宋" w:hAnsi="仿宋" w:eastAsia="仿宋" w:cs="宋体"/>
                <w:spacing w:val="6"/>
                <w:kern w:val="3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pacing w:val="6"/>
                <w:kern w:val="30"/>
                <w:sz w:val="20"/>
                <w:szCs w:val="20"/>
              </w:rPr>
              <w:t>86.67%</w:t>
            </w:r>
          </w:p>
        </w:tc>
      </w:tr>
      <w:tr w14:paraId="19D276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01" w:hRule="atLeast"/>
          <w:jc w:val="center"/>
        </w:trPr>
        <w:tc>
          <w:tcPr>
            <w:tcW w:w="2214" w:type="dxa"/>
            <w:vAlign w:val="center"/>
          </w:tcPr>
          <w:p w14:paraId="6C969A35">
            <w:pPr>
              <w:snapToGrid w:val="0"/>
              <w:jc w:val="center"/>
              <w:rPr>
                <w:rFonts w:hint="eastAsia" w:ascii="仿宋" w:hAnsi="仿宋" w:eastAsia="仿宋" w:cs="宋体"/>
                <w:spacing w:val="6"/>
                <w:kern w:val="30"/>
                <w:sz w:val="20"/>
                <w:szCs w:val="20"/>
              </w:rPr>
            </w:pPr>
            <w:r>
              <w:rPr>
                <w:rFonts w:ascii="仿宋" w:hAnsi="仿宋" w:eastAsia="仿宋" w:cs="宋体"/>
                <w:spacing w:val="6"/>
                <w:kern w:val="30"/>
                <w:sz w:val="20"/>
                <w:szCs w:val="20"/>
              </w:rPr>
              <w:t>过程</w:t>
            </w:r>
          </w:p>
        </w:tc>
        <w:tc>
          <w:tcPr>
            <w:tcW w:w="2213" w:type="dxa"/>
            <w:vAlign w:val="center"/>
          </w:tcPr>
          <w:p w14:paraId="68A6D49E">
            <w:pPr>
              <w:snapToGrid w:val="0"/>
              <w:jc w:val="center"/>
              <w:rPr>
                <w:rFonts w:hint="eastAsia" w:ascii="仿宋" w:hAnsi="仿宋" w:eastAsia="仿宋" w:cs="宋体"/>
                <w:spacing w:val="6"/>
                <w:kern w:val="30"/>
                <w:sz w:val="20"/>
                <w:szCs w:val="20"/>
              </w:rPr>
            </w:pPr>
            <w:r>
              <w:rPr>
                <w:rFonts w:ascii="仿宋" w:hAnsi="仿宋" w:eastAsia="仿宋" w:cs="宋体"/>
                <w:spacing w:val="6"/>
                <w:kern w:val="30"/>
                <w:sz w:val="20"/>
                <w:szCs w:val="20"/>
              </w:rPr>
              <w:t>20</w:t>
            </w:r>
          </w:p>
        </w:tc>
        <w:tc>
          <w:tcPr>
            <w:tcW w:w="2213" w:type="dxa"/>
            <w:vAlign w:val="center"/>
          </w:tcPr>
          <w:p w14:paraId="6337AADB">
            <w:pPr>
              <w:snapToGrid w:val="0"/>
              <w:jc w:val="center"/>
              <w:rPr>
                <w:rFonts w:hint="eastAsia" w:ascii="仿宋" w:hAnsi="仿宋" w:eastAsia="仿宋" w:cs="宋体"/>
                <w:spacing w:val="6"/>
                <w:kern w:val="3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pacing w:val="6"/>
                <w:kern w:val="30"/>
                <w:sz w:val="20"/>
                <w:szCs w:val="20"/>
              </w:rPr>
              <w:t>14.81</w:t>
            </w:r>
          </w:p>
        </w:tc>
        <w:tc>
          <w:tcPr>
            <w:tcW w:w="2213" w:type="dxa"/>
            <w:vAlign w:val="center"/>
          </w:tcPr>
          <w:p w14:paraId="69A27E41">
            <w:pPr>
              <w:snapToGrid w:val="0"/>
              <w:jc w:val="center"/>
              <w:rPr>
                <w:rFonts w:hint="eastAsia" w:ascii="仿宋" w:hAnsi="仿宋" w:eastAsia="仿宋" w:cs="宋体"/>
                <w:spacing w:val="6"/>
                <w:kern w:val="3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pacing w:val="6"/>
                <w:kern w:val="30"/>
                <w:sz w:val="20"/>
                <w:szCs w:val="20"/>
              </w:rPr>
              <w:t>74.05%</w:t>
            </w:r>
          </w:p>
        </w:tc>
      </w:tr>
      <w:tr w14:paraId="40CD7A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01" w:hRule="atLeast"/>
          <w:jc w:val="center"/>
        </w:trPr>
        <w:tc>
          <w:tcPr>
            <w:tcW w:w="2214" w:type="dxa"/>
            <w:vAlign w:val="center"/>
          </w:tcPr>
          <w:p w14:paraId="3A1DD15C">
            <w:pPr>
              <w:snapToGrid w:val="0"/>
              <w:jc w:val="center"/>
              <w:rPr>
                <w:rFonts w:hint="eastAsia" w:ascii="仿宋" w:hAnsi="仿宋" w:eastAsia="仿宋" w:cs="宋体"/>
                <w:spacing w:val="6"/>
                <w:kern w:val="30"/>
                <w:sz w:val="20"/>
                <w:szCs w:val="20"/>
              </w:rPr>
            </w:pPr>
            <w:r>
              <w:rPr>
                <w:rFonts w:ascii="仿宋" w:hAnsi="仿宋" w:eastAsia="仿宋" w:cs="宋体"/>
                <w:spacing w:val="6"/>
                <w:kern w:val="30"/>
                <w:sz w:val="20"/>
                <w:szCs w:val="20"/>
              </w:rPr>
              <w:t>产出</w:t>
            </w:r>
          </w:p>
        </w:tc>
        <w:tc>
          <w:tcPr>
            <w:tcW w:w="2213" w:type="dxa"/>
            <w:vAlign w:val="center"/>
          </w:tcPr>
          <w:p w14:paraId="24F58C37">
            <w:pPr>
              <w:snapToGrid w:val="0"/>
              <w:jc w:val="center"/>
              <w:rPr>
                <w:rFonts w:hint="eastAsia" w:ascii="仿宋" w:hAnsi="仿宋" w:eastAsia="仿宋" w:cs="宋体"/>
                <w:spacing w:val="6"/>
                <w:kern w:val="30"/>
                <w:sz w:val="20"/>
                <w:szCs w:val="20"/>
              </w:rPr>
            </w:pPr>
            <w:r>
              <w:rPr>
                <w:rFonts w:ascii="仿宋" w:hAnsi="仿宋" w:eastAsia="仿宋" w:cs="宋体"/>
                <w:spacing w:val="6"/>
                <w:kern w:val="30"/>
                <w:sz w:val="20"/>
                <w:szCs w:val="20"/>
              </w:rPr>
              <w:t>35</w:t>
            </w:r>
          </w:p>
        </w:tc>
        <w:tc>
          <w:tcPr>
            <w:tcW w:w="2213" w:type="dxa"/>
            <w:vAlign w:val="center"/>
          </w:tcPr>
          <w:p w14:paraId="7B10F2FE">
            <w:pPr>
              <w:snapToGrid w:val="0"/>
              <w:jc w:val="center"/>
              <w:rPr>
                <w:rFonts w:hint="eastAsia" w:ascii="仿宋" w:hAnsi="仿宋" w:eastAsia="仿宋" w:cs="宋体"/>
                <w:spacing w:val="6"/>
                <w:kern w:val="3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pacing w:val="6"/>
                <w:kern w:val="30"/>
                <w:sz w:val="20"/>
                <w:szCs w:val="20"/>
              </w:rPr>
              <w:t>31.85</w:t>
            </w:r>
          </w:p>
        </w:tc>
        <w:tc>
          <w:tcPr>
            <w:tcW w:w="2213" w:type="dxa"/>
            <w:vAlign w:val="center"/>
          </w:tcPr>
          <w:p w14:paraId="5446F262">
            <w:pPr>
              <w:snapToGrid w:val="0"/>
              <w:jc w:val="center"/>
              <w:rPr>
                <w:rFonts w:hint="eastAsia" w:ascii="仿宋" w:hAnsi="仿宋" w:eastAsia="仿宋" w:cs="宋体"/>
                <w:spacing w:val="6"/>
                <w:kern w:val="3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pacing w:val="6"/>
                <w:kern w:val="30"/>
                <w:sz w:val="20"/>
                <w:szCs w:val="20"/>
              </w:rPr>
              <w:t>91.00%</w:t>
            </w:r>
          </w:p>
        </w:tc>
      </w:tr>
      <w:tr w14:paraId="474BD0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13" w:hRule="atLeast"/>
          <w:jc w:val="center"/>
        </w:trPr>
        <w:tc>
          <w:tcPr>
            <w:tcW w:w="2214" w:type="dxa"/>
            <w:vAlign w:val="center"/>
          </w:tcPr>
          <w:p w14:paraId="25CF7C58">
            <w:pPr>
              <w:snapToGrid w:val="0"/>
              <w:jc w:val="center"/>
              <w:rPr>
                <w:rFonts w:hint="eastAsia" w:ascii="仿宋" w:hAnsi="仿宋" w:eastAsia="仿宋" w:cs="宋体"/>
                <w:spacing w:val="6"/>
                <w:kern w:val="3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pacing w:val="6"/>
                <w:kern w:val="30"/>
                <w:sz w:val="20"/>
                <w:szCs w:val="20"/>
              </w:rPr>
              <w:t>效益</w:t>
            </w:r>
          </w:p>
        </w:tc>
        <w:tc>
          <w:tcPr>
            <w:tcW w:w="2213" w:type="dxa"/>
            <w:vAlign w:val="center"/>
          </w:tcPr>
          <w:p w14:paraId="23E203FA">
            <w:pPr>
              <w:snapToGrid w:val="0"/>
              <w:jc w:val="center"/>
              <w:rPr>
                <w:rFonts w:hint="eastAsia" w:ascii="仿宋" w:hAnsi="仿宋" w:eastAsia="仿宋" w:cs="宋体"/>
                <w:spacing w:val="6"/>
                <w:kern w:val="30"/>
                <w:sz w:val="20"/>
                <w:szCs w:val="20"/>
              </w:rPr>
            </w:pPr>
            <w:r>
              <w:rPr>
                <w:rFonts w:ascii="仿宋" w:hAnsi="仿宋" w:eastAsia="仿宋" w:cs="宋体"/>
                <w:spacing w:val="6"/>
                <w:kern w:val="30"/>
                <w:sz w:val="20"/>
                <w:szCs w:val="20"/>
              </w:rPr>
              <w:t>30</w:t>
            </w:r>
          </w:p>
        </w:tc>
        <w:tc>
          <w:tcPr>
            <w:tcW w:w="2213" w:type="dxa"/>
            <w:vAlign w:val="center"/>
          </w:tcPr>
          <w:p w14:paraId="30BF56A7">
            <w:pPr>
              <w:snapToGrid w:val="0"/>
              <w:jc w:val="center"/>
              <w:rPr>
                <w:rFonts w:hint="eastAsia" w:ascii="仿宋" w:hAnsi="仿宋" w:eastAsia="仿宋" w:cs="宋体"/>
                <w:spacing w:val="6"/>
                <w:kern w:val="3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pacing w:val="6"/>
                <w:kern w:val="30"/>
                <w:sz w:val="20"/>
                <w:szCs w:val="20"/>
              </w:rPr>
              <w:t>25.16</w:t>
            </w:r>
          </w:p>
        </w:tc>
        <w:tc>
          <w:tcPr>
            <w:tcW w:w="2213" w:type="dxa"/>
            <w:vAlign w:val="center"/>
          </w:tcPr>
          <w:p w14:paraId="376C0D6D">
            <w:pPr>
              <w:snapToGrid w:val="0"/>
              <w:jc w:val="center"/>
              <w:rPr>
                <w:rFonts w:hint="eastAsia" w:ascii="仿宋" w:hAnsi="仿宋" w:eastAsia="仿宋" w:cs="宋体"/>
                <w:spacing w:val="6"/>
                <w:kern w:val="3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pacing w:val="6"/>
                <w:kern w:val="30"/>
                <w:sz w:val="20"/>
                <w:szCs w:val="20"/>
              </w:rPr>
              <w:t>83.87%</w:t>
            </w:r>
          </w:p>
        </w:tc>
      </w:tr>
      <w:tr w14:paraId="413A7F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01" w:hRule="atLeast"/>
          <w:jc w:val="center"/>
        </w:trPr>
        <w:tc>
          <w:tcPr>
            <w:tcW w:w="2214" w:type="dxa"/>
            <w:vAlign w:val="center"/>
          </w:tcPr>
          <w:p w14:paraId="42862BE0">
            <w:pPr>
              <w:snapToGrid w:val="0"/>
              <w:jc w:val="center"/>
              <w:rPr>
                <w:rFonts w:hint="eastAsia" w:ascii="仿宋" w:hAnsi="仿宋" w:eastAsia="仿宋" w:cs="宋体"/>
                <w:b/>
                <w:bCs/>
                <w:spacing w:val="6"/>
                <w:kern w:val="30"/>
                <w:sz w:val="20"/>
                <w:szCs w:val="20"/>
              </w:rPr>
            </w:pPr>
            <w:r>
              <w:rPr>
                <w:rFonts w:ascii="仿宋" w:hAnsi="仿宋" w:eastAsia="仿宋" w:cs="宋体"/>
                <w:b/>
                <w:bCs/>
                <w:spacing w:val="6"/>
                <w:kern w:val="30"/>
                <w:sz w:val="20"/>
                <w:szCs w:val="20"/>
              </w:rPr>
              <w:t>合计</w:t>
            </w:r>
          </w:p>
        </w:tc>
        <w:tc>
          <w:tcPr>
            <w:tcW w:w="2213" w:type="dxa"/>
            <w:vAlign w:val="center"/>
          </w:tcPr>
          <w:p w14:paraId="304DF5E9">
            <w:pPr>
              <w:snapToGrid w:val="0"/>
              <w:jc w:val="center"/>
              <w:rPr>
                <w:rFonts w:hint="eastAsia" w:ascii="仿宋" w:hAnsi="仿宋" w:eastAsia="仿宋" w:cs="宋体"/>
                <w:b/>
                <w:bCs/>
                <w:spacing w:val="6"/>
                <w:kern w:val="3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spacing w:val="6"/>
                <w:kern w:val="30"/>
                <w:sz w:val="20"/>
                <w:szCs w:val="20"/>
              </w:rPr>
              <w:t>1</w:t>
            </w:r>
            <w:r>
              <w:rPr>
                <w:rFonts w:ascii="仿宋" w:hAnsi="仿宋" w:eastAsia="仿宋" w:cs="宋体"/>
                <w:b/>
                <w:bCs/>
                <w:spacing w:val="6"/>
                <w:kern w:val="30"/>
                <w:sz w:val="20"/>
                <w:szCs w:val="20"/>
              </w:rPr>
              <w:t>00</w:t>
            </w:r>
          </w:p>
        </w:tc>
        <w:tc>
          <w:tcPr>
            <w:tcW w:w="2213" w:type="dxa"/>
            <w:vAlign w:val="center"/>
          </w:tcPr>
          <w:p w14:paraId="39DFB4B3">
            <w:pPr>
              <w:snapToGrid w:val="0"/>
              <w:jc w:val="center"/>
              <w:rPr>
                <w:rFonts w:hint="eastAsia" w:ascii="仿宋" w:hAnsi="仿宋" w:eastAsia="仿宋" w:cs="宋体"/>
                <w:b/>
                <w:bCs/>
                <w:spacing w:val="6"/>
                <w:kern w:val="3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spacing w:val="6"/>
                <w:kern w:val="30"/>
                <w:sz w:val="20"/>
                <w:szCs w:val="20"/>
              </w:rPr>
              <w:t>84.78</w:t>
            </w:r>
          </w:p>
        </w:tc>
        <w:tc>
          <w:tcPr>
            <w:tcW w:w="2213" w:type="dxa"/>
            <w:vAlign w:val="center"/>
          </w:tcPr>
          <w:p w14:paraId="562414B0">
            <w:pPr>
              <w:snapToGrid w:val="0"/>
              <w:jc w:val="center"/>
              <w:rPr>
                <w:rFonts w:hint="eastAsia" w:ascii="仿宋" w:hAnsi="仿宋" w:eastAsia="仿宋" w:cs="宋体"/>
                <w:b/>
                <w:bCs/>
                <w:spacing w:val="6"/>
                <w:kern w:val="3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spacing w:val="6"/>
                <w:kern w:val="30"/>
                <w:sz w:val="20"/>
                <w:szCs w:val="20"/>
              </w:rPr>
              <w:t>84.78%</w:t>
            </w:r>
          </w:p>
        </w:tc>
      </w:tr>
    </w:tbl>
    <w:p w14:paraId="7C42C999">
      <w:pPr>
        <w:numPr>
          <w:ilvl w:val="255"/>
          <w:numId w:val="0"/>
        </w:numPr>
        <w:spacing w:line="579" w:lineRule="exact"/>
        <w:ind w:firstLine="600" w:firstLineChars="200"/>
        <w:rPr>
          <w:rFonts w:hint="eastAsia" w:ascii="仿宋" w:hAnsi="仿宋" w:eastAsia="仿宋" w:cs="仿宋"/>
          <w:kern w:val="30"/>
          <w:sz w:val="30"/>
          <w:szCs w:val="30"/>
        </w:rPr>
      </w:pPr>
      <w:r>
        <w:rPr>
          <w:rFonts w:hint="eastAsia" w:ascii="仿宋" w:hAnsi="仿宋" w:eastAsia="仿宋" w:cs="Times New Roman"/>
          <w:kern w:val="30"/>
          <w:sz w:val="30"/>
          <w:szCs w:val="30"/>
          <w:lang w:val="zh-CN"/>
        </w:rPr>
        <w:t>项目立项依据充分，立项程序规范，严格执行上级部门的相关制度要求，财务管理制度健全，项目程序合规。但该项目绩效目标设置不合理，绩效指标编制不全面，预算申报资料不齐全，绩效自评工作</w:t>
      </w:r>
      <w:r>
        <w:rPr>
          <w:rFonts w:hint="eastAsia" w:ascii="仿宋" w:hAnsi="Times New Roman" w:eastAsia="仿宋" w:cs="Times New Roman"/>
          <w:kern w:val="30"/>
          <w:sz w:val="30"/>
          <w:szCs w:val="21"/>
          <w:lang w:val="zh-CN"/>
        </w:rPr>
        <w:t>未有效落实。</w:t>
      </w:r>
    </w:p>
    <w:p w14:paraId="293CFA47">
      <w:pPr>
        <w:overflowPunct w:val="0"/>
        <w:spacing w:line="579" w:lineRule="exact"/>
        <w:ind w:firstLine="629"/>
        <w:rPr>
          <w:rFonts w:hint="eastAsia" w:ascii="黑体" w:hAnsi="黑体" w:eastAsia="黑体" w:cs="Times New Roman"/>
          <w:kern w:val="30"/>
          <w:sz w:val="30"/>
          <w:szCs w:val="30"/>
        </w:rPr>
      </w:pPr>
      <w:r>
        <w:rPr>
          <w:rFonts w:hint="eastAsia" w:ascii="黑体" w:hAnsi="黑体" w:eastAsia="黑体" w:cs="Times New Roman"/>
          <w:kern w:val="30"/>
          <w:sz w:val="30"/>
          <w:szCs w:val="30"/>
        </w:rPr>
        <w:t>三、存在的主要问题</w:t>
      </w:r>
    </w:p>
    <w:p w14:paraId="235A4DD6">
      <w:pPr>
        <w:widowControl/>
        <w:overflowPunct w:val="0"/>
        <w:spacing w:line="579" w:lineRule="exact"/>
        <w:ind w:firstLine="600" w:firstLineChars="200"/>
        <w:jc w:val="left"/>
        <w:outlineLvl w:val="1"/>
        <w:rPr>
          <w:rFonts w:hint="eastAsia" w:ascii="楷体" w:hAnsi="楷体" w:eastAsia="楷体" w:cs="Times New Roman"/>
          <w:kern w:val="30"/>
          <w:sz w:val="30"/>
          <w:szCs w:val="30"/>
        </w:rPr>
      </w:pPr>
      <w:r>
        <w:rPr>
          <w:rFonts w:hint="eastAsia" w:ascii="楷体" w:hAnsi="楷体" w:eastAsia="楷体" w:cs="Times New Roman"/>
          <w:kern w:val="30"/>
          <w:sz w:val="30"/>
          <w:szCs w:val="30"/>
        </w:rPr>
        <w:t>（一）</w:t>
      </w:r>
      <w:r>
        <w:rPr>
          <w:rFonts w:hint="eastAsia" w:ascii="楷体" w:hAnsi="楷体" w:eastAsia="楷体" w:cs="楷体"/>
          <w:kern w:val="30"/>
          <w:sz w:val="30"/>
          <w:szCs w:val="30"/>
          <w:lang w:bidi="ar"/>
        </w:rPr>
        <w:t>绩效管理落实不到位，自评工作有待加强</w:t>
      </w:r>
    </w:p>
    <w:p w14:paraId="5A68CEA0">
      <w:pPr>
        <w:spacing w:line="579" w:lineRule="exact"/>
        <w:ind w:firstLine="600" w:firstLineChars="200"/>
        <w:rPr>
          <w:rFonts w:hint="eastAsia" w:ascii="仿宋" w:hAnsi="仿宋" w:eastAsia="仿宋" w:cs="仿宋"/>
          <w:kern w:val="30"/>
          <w:sz w:val="30"/>
          <w:szCs w:val="30"/>
        </w:rPr>
      </w:pPr>
      <w:r>
        <w:rPr>
          <w:rFonts w:hint="eastAsia" w:ascii="仿宋" w:hAnsi="仿宋" w:eastAsia="仿宋" w:cs="仿宋"/>
          <w:kern w:val="30"/>
          <w:sz w:val="30"/>
          <w:szCs w:val="30"/>
        </w:rPr>
        <w:t>查阅项目预算申报的绩效目标，洱海源廉洁</w:t>
      </w:r>
      <w:r>
        <w:rPr>
          <w:rFonts w:hint="eastAsia" w:ascii="方正小标宋简体" w:hAnsi="方正小标宋简体" w:eastAsia="方正小标宋简体" w:cs="方正小标宋简体"/>
          <w:kern w:val="30"/>
          <w:sz w:val="30"/>
          <w:szCs w:val="30"/>
        </w:rPr>
        <w:t>·</w:t>
      </w:r>
      <w:r>
        <w:rPr>
          <w:rFonts w:hint="eastAsia" w:ascii="仿宋" w:hAnsi="仿宋" w:eastAsia="仿宋" w:cs="仿宋"/>
          <w:kern w:val="30"/>
          <w:sz w:val="30"/>
          <w:szCs w:val="30"/>
        </w:rPr>
        <w:t>法治文化主题公园项目绩效目标设置较为粗略、广泛、不够细化；未能结合项目具体详细设置；2023年项目资金绩效目标设置未按照“总产出、总效益”的方式进行设置，绩效目标设置不够完善。部分项目绩效目标表指标设置不够清晰，难以量化，未充分根据项目情况具体设置，难以考核。缺少产出数量，产出时效，产出成本指标。经查阅中国共产党洱源县纪律检查委员会项目绩效自评资料，无指标评分表，无过程性记录，无相关满意度资料。</w:t>
      </w:r>
    </w:p>
    <w:p w14:paraId="01CBBFB3">
      <w:pPr>
        <w:widowControl/>
        <w:spacing w:line="579" w:lineRule="exact"/>
        <w:ind w:firstLine="632"/>
        <w:outlineLvl w:val="1"/>
        <w:rPr>
          <w:rFonts w:hint="eastAsia" w:ascii="楷体" w:hAnsi="楷体" w:eastAsia="楷体" w:cs="Times New Roman"/>
          <w:kern w:val="30"/>
          <w:sz w:val="30"/>
          <w:szCs w:val="30"/>
        </w:rPr>
      </w:pPr>
      <w:r>
        <w:rPr>
          <w:rFonts w:hint="eastAsia" w:ascii="楷体" w:hAnsi="楷体" w:eastAsia="楷体" w:cs="Times New Roman"/>
          <w:kern w:val="30"/>
          <w:sz w:val="30"/>
          <w:szCs w:val="30"/>
        </w:rPr>
        <w:t>（二）项目合同履行不够规范，项目建设内容存在差异</w:t>
      </w:r>
    </w:p>
    <w:p w14:paraId="0085D4E7">
      <w:pPr>
        <w:spacing w:line="579" w:lineRule="exact"/>
        <w:ind w:firstLine="600" w:firstLineChars="200"/>
        <w:rPr>
          <w:rFonts w:hint="eastAsia" w:ascii="仿宋" w:hAnsi="仿宋" w:eastAsia="仿宋" w:cs="仿宋"/>
          <w:kern w:val="30"/>
          <w:sz w:val="30"/>
          <w:szCs w:val="30"/>
        </w:rPr>
      </w:pPr>
      <w:r>
        <w:rPr>
          <w:rFonts w:hint="eastAsia" w:ascii="仿宋" w:hAnsi="仿宋" w:eastAsia="仿宋" w:cs="仿宋"/>
          <w:kern w:val="30"/>
          <w:sz w:val="30"/>
          <w:szCs w:val="30"/>
        </w:rPr>
        <w:t>1.未按合同约定支付项目款项。洱海源廉洁</w:t>
      </w:r>
      <w:r>
        <w:rPr>
          <w:rFonts w:hint="eastAsia" w:ascii="方正小标宋简体" w:hAnsi="方正小标宋简体" w:eastAsia="方正小标宋简体" w:cs="方正小标宋简体"/>
          <w:kern w:val="30"/>
          <w:sz w:val="30"/>
          <w:szCs w:val="30"/>
        </w:rPr>
        <w:t>·</w:t>
      </w:r>
      <w:r>
        <w:rPr>
          <w:rFonts w:hint="eastAsia" w:ascii="仿宋" w:hAnsi="仿宋" w:eastAsia="仿宋" w:cs="仿宋"/>
          <w:kern w:val="30"/>
          <w:sz w:val="30"/>
          <w:szCs w:val="30"/>
        </w:rPr>
        <w:t>法治文化主题公园建设项目全过程咨询服务合同约定支付方式为：本项目合同共分为两次付清，如下:(1)合同签订后10个工作日内，甲方向乙方支付合同总价款的30%，即18000元，作为项目预付款:(2)本项目竣工结算工作完成并通过验收，项目投入使用后，甲方向乙方支付合同总价70%，即42000元，支付完成。实际付款为：2023年9月27日一次性支付60000元。</w:t>
      </w:r>
    </w:p>
    <w:p w14:paraId="29454F1B">
      <w:pPr>
        <w:spacing w:line="579" w:lineRule="exact"/>
        <w:ind w:firstLine="600" w:firstLineChars="200"/>
        <w:rPr>
          <w:rFonts w:hint="eastAsia" w:ascii="仿宋" w:hAnsi="仿宋" w:eastAsia="仿宋" w:cs="仿宋"/>
          <w:kern w:val="30"/>
          <w:sz w:val="30"/>
          <w:szCs w:val="30"/>
        </w:rPr>
      </w:pPr>
      <w:r>
        <w:rPr>
          <w:rFonts w:hint="eastAsia" w:ascii="仿宋" w:hAnsi="仿宋" w:eastAsia="仿宋" w:cs="仿宋"/>
          <w:kern w:val="30"/>
          <w:sz w:val="30"/>
          <w:szCs w:val="30"/>
        </w:rPr>
        <w:t>2.项目实际建设内容与合同签订内容部分不一致。</w:t>
      </w:r>
    </w:p>
    <w:p w14:paraId="62F87739">
      <w:pPr>
        <w:tabs>
          <w:tab w:val="center" w:pos="4153"/>
          <w:tab w:val="right" w:pos="8306"/>
        </w:tabs>
        <w:snapToGrid w:val="0"/>
        <w:jc w:val="center"/>
        <w:rPr>
          <w:rFonts w:hint="eastAsia" w:ascii="黑体" w:hAnsi="黑体" w:eastAsia="黑体" w:cs="Times New Roman"/>
          <w:sz w:val="24"/>
          <w:szCs w:val="24"/>
        </w:rPr>
      </w:pPr>
      <w:r>
        <w:rPr>
          <w:rFonts w:hint="eastAsia" w:ascii="黑体" w:hAnsi="黑体" w:eastAsia="黑体" w:cs="Times New Roman"/>
          <w:sz w:val="24"/>
          <w:szCs w:val="24"/>
        </w:rPr>
        <w:t>项目实际建设内容与项目合同签订内容对比表</w:t>
      </w:r>
    </w:p>
    <w:tbl>
      <w:tblPr>
        <w:tblStyle w:val="9"/>
        <w:tblW w:w="88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80"/>
        <w:gridCol w:w="3735"/>
        <w:gridCol w:w="1530"/>
      </w:tblGrid>
      <w:tr w14:paraId="721B02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tblHeader/>
          <w:jc w:val="center"/>
        </w:trPr>
        <w:tc>
          <w:tcPr>
            <w:tcW w:w="3496" w:type="dxa"/>
            <w:vAlign w:val="center"/>
          </w:tcPr>
          <w:p w14:paraId="7102AA25">
            <w:pPr>
              <w:snapToGrid w:val="0"/>
              <w:jc w:val="center"/>
              <w:rPr>
                <w:rFonts w:hint="eastAsia" w:ascii="仿宋" w:hAnsi="仿宋" w:eastAsia="仿宋" w:cs="宋体"/>
                <w:b/>
                <w:bCs/>
                <w:spacing w:val="6"/>
                <w:kern w:val="3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spacing w:val="6"/>
                <w:kern w:val="30"/>
                <w:sz w:val="20"/>
                <w:szCs w:val="20"/>
              </w:rPr>
              <w:t>项目合同签订内容</w:t>
            </w:r>
          </w:p>
        </w:tc>
        <w:tc>
          <w:tcPr>
            <w:tcW w:w="3648" w:type="dxa"/>
            <w:vAlign w:val="center"/>
          </w:tcPr>
          <w:p w14:paraId="0E464D46">
            <w:pPr>
              <w:snapToGrid w:val="0"/>
              <w:jc w:val="center"/>
              <w:rPr>
                <w:rFonts w:hint="eastAsia" w:ascii="仿宋" w:hAnsi="仿宋" w:eastAsia="仿宋" w:cs="宋体"/>
                <w:b/>
                <w:bCs/>
                <w:spacing w:val="6"/>
                <w:kern w:val="3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spacing w:val="6"/>
                <w:kern w:val="30"/>
                <w:sz w:val="20"/>
                <w:szCs w:val="20"/>
              </w:rPr>
              <w:t>项目实际建设内容</w:t>
            </w:r>
          </w:p>
        </w:tc>
        <w:tc>
          <w:tcPr>
            <w:tcW w:w="1494" w:type="dxa"/>
            <w:vAlign w:val="center"/>
          </w:tcPr>
          <w:p w14:paraId="3A0F2569">
            <w:pPr>
              <w:snapToGrid w:val="0"/>
              <w:jc w:val="center"/>
              <w:rPr>
                <w:rFonts w:hint="eastAsia" w:ascii="仿宋" w:hAnsi="仿宋" w:eastAsia="仿宋" w:cs="宋体"/>
                <w:b/>
                <w:bCs/>
                <w:spacing w:val="6"/>
                <w:kern w:val="3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spacing w:val="6"/>
                <w:kern w:val="30"/>
                <w:sz w:val="20"/>
                <w:szCs w:val="20"/>
              </w:rPr>
              <w:t>不同</w:t>
            </w:r>
          </w:p>
        </w:tc>
      </w:tr>
      <w:tr w14:paraId="1A2ADC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349" w:hRule="atLeast"/>
          <w:jc w:val="center"/>
        </w:trPr>
        <w:tc>
          <w:tcPr>
            <w:tcW w:w="3496" w:type="dxa"/>
            <w:vAlign w:val="center"/>
          </w:tcPr>
          <w:p w14:paraId="1143EA98">
            <w:pPr>
              <w:spacing w:line="240" w:lineRule="exact"/>
              <w:jc w:val="left"/>
              <w:rPr>
                <w:rFonts w:hint="eastAsia" w:ascii="仿宋" w:hAnsi="仿宋" w:eastAsia="仿宋" w:cs="仿宋"/>
                <w:color w:val="000000"/>
                <w:kern w:val="3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30"/>
                <w:sz w:val="20"/>
                <w:szCs w:val="20"/>
                <w:lang w:bidi="ar"/>
              </w:rPr>
              <w:t>生态洱源篇：建设公园名称景观石1个(规格3200*1600*1500mm)、公园简介景观造型1个(规格600*1300*1000mm)、公园主题水体景观1个、生态洱源景观造型1个、“绿水青山就是金山银山”景观造型1个，休息区2个、照壁1个、平面索引指示牌1个等。</w:t>
            </w:r>
          </w:p>
        </w:tc>
        <w:tc>
          <w:tcPr>
            <w:tcW w:w="3648" w:type="dxa"/>
            <w:vAlign w:val="center"/>
          </w:tcPr>
          <w:p w14:paraId="758B810A">
            <w:pPr>
              <w:spacing w:line="240" w:lineRule="exact"/>
              <w:jc w:val="left"/>
              <w:rPr>
                <w:rFonts w:hint="eastAsia" w:ascii="仿宋" w:hAnsi="仿宋" w:eastAsia="仿宋" w:cs="仿宋"/>
                <w:color w:val="000000"/>
                <w:kern w:val="3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30"/>
                <w:sz w:val="20"/>
                <w:szCs w:val="20"/>
                <w:lang w:bidi="ar"/>
              </w:rPr>
              <w:t>生态洱源篇：起点从滨河大道环岛处开始，至灵杰路与宁新路交界处止，长约160米。该路段含公园名称景观石1个、公园简介景观造型1个、公园主题水体景观1个、生态洱源景观造型1个、“绿水青山就是金山银山”景观造型1个、照壁1个、平面索引1个、小景观石7个。</w:t>
            </w:r>
          </w:p>
        </w:tc>
        <w:tc>
          <w:tcPr>
            <w:tcW w:w="1494" w:type="dxa"/>
            <w:vAlign w:val="center"/>
          </w:tcPr>
          <w:p w14:paraId="03E242D7">
            <w:pPr>
              <w:spacing w:line="240" w:lineRule="exact"/>
              <w:jc w:val="left"/>
              <w:rPr>
                <w:rFonts w:hint="eastAsia" w:ascii="仿宋" w:hAnsi="仿宋" w:eastAsia="仿宋" w:cs="仿宋"/>
                <w:color w:val="000000"/>
                <w:kern w:val="3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①实际建设缺少休息区2个；②实际建设内容较合同内容多小景观石7个。</w:t>
            </w:r>
          </w:p>
        </w:tc>
      </w:tr>
      <w:tr w14:paraId="7EF33E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1" w:hRule="atLeast"/>
          <w:jc w:val="center"/>
        </w:trPr>
        <w:tc>
          <w:tcPr>
            <w:tcW w:w="3496" w:type="dxa"/>
            <w:vAlign w:val="center"/>
          </w:tcPr>
          <w:p w14:paraId="7951E6D5">
            <w:pPr>
              <w:spacing w:line="240" w:lineRule="exact"/>
              <w:jc w:val="left"/>
              <w:rPr>
                <w:rFonts w:hint="eastAsia" w:ascii="仿宋" w:hAnsi="仿宋" w:eastAsia="仿宋" w:cs="仿宋"/>
                <w:color w:val="000000"/>
                <w:kern w:val="3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30"/>
                <w:sz w:val="20"/>
                <w:szCs w:val="20"/>
                <w:lang w:bidi="ar"/>
              </w:rPr>
              <w:t>廉洁洱源篇：建设平面索引指示牌1个、廉洁洱源主题景观造型1个、休息区3个、照壁2个、水体景观3个、网红打卡点(清源洞-温馨驿站)1个、小景观造型8个、洗心碑雕塑景观造型1个、小景观石14个等。</w:t>
            </w:r>
          </w:p>
        </w:tc>
        <w:tc>
          <w:tcPr>
            <w:tcW w:w="3648" w:type="dxa"/>
            <w:vAlign w:val="center"/>
          </w:tcPr>
          <w:p w14:paraId="5611856B">
            <w:pPr>
              <w:spacing w:line="240" w:lineRule="exact"/>
              <w:jc w:val="left"/>
              <w:rPr>
                <w:rFonts w:hint="eastAsia" w:ascii="仿宋" w:hAnsi="仿宋" w:eastAsia="仿宋" w:cs="仿宋"/>
                <w:color w:val="000000"/>
                <w:kern w:val="3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30"/>
                <w:sz w:val="20"/>
                <w:szCs w:val="20"/>
                <w:lang w:bidi="ar"/>
              </w:rPr>
              <w:t>廉洁洱源篇：该路段廉洁文化设施包括平面索引1个、廉洁洱源主题景观造型1个、休息区2个、照壁2个、水体景观3个、网红打卡点(清源洞)1个、小景观造型8个、洗心碑雕塑景观1个、小景观石14个等。</w:t>
            </w:r>
          </w:p>
        </w:tc>
        <w:tc>
          <w:tcPr>
            <w:tcW w:w="1494" w:type="dxa"/>
            <w:vAlign w:val="center"/>
          </w:tcPr>
          <w:p w14:paraId="79384670">
            <w:pPr>
              <w:spacing w:line="240" w:lineRule="exact"/>
              <w:jc w:val="left"/>
              <w:rPr>
                <w:rFonts w:hint="eastAsia" w:ascii="仿宋" w:hAnsi="仿宋" w:eastAsia="仿宋" w:cs="仿宋"/>
                <w:color w:val="000000"/>
                <w:kern w:val="3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30"/>
                <w:sz w:val="20"/>
                <w:szCs w:val="20"/>
                <w:lang w:bidi="ar"/>
              </w:rPr>
              <w:t>实际建设较合同缺少休息区1个。</w:t>
            </w:r>
          </w:p>
        </w:tc>
      </w:tr>
      <w:tr w14:paraId="5A353D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3" w:hRule="atLeast"/>
          <w:jc w:val="center"/>
        </w:trPr>
        <w:tc>
          <w:tcPr>
            <w:tcW w:w="3496" w:type="dxa"/>
            <w:vAlign w:val="center"/>
          </w:tcPr>
          <w:p w14:paraId="54AFED70">
            <w:pPr>
              <w:spacing w:line="240" w:lineRule="exact"/>
              <w:jc w:val="left"/>
              <w:rPr>
                <w:rFonts w:hint="eastAsia" w:ascii="仿宋" w:hAnsi="仿宋" w:eastAsia="仿宋" w:cs="仿宋"/>
                <w:color w:val="000000"/>
                <w:kern w:val="3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30"/>
                <w:sz w:val="20"/>
                <w:szCs w:val="20"/>
                <w:lang w:bidi="ar"/>
              </w:rPr>
              <w:t>法治洱源篇：建设平面索引指示牌1个、法治洱源主题景观造型1个、休息区3个、照壁3个、法文化景观造型2个、水体景观3个、高洁牌坊景观造型1个、小景观石10个等。</w:t>
            </w:r>
          </w:p>
        </w:tc>
        <w:tc>
          <w:tcPr>
            <w:tcW w:w="3648" w:type="dxa"/>
            <w:vAlign w:val="center"/>
          </w:tcPr>
          <w:p w14:paraId="7C34C0EB">
            <w:pPr>
              <w:spacing w:line="240" w:lineRule="exact"/>
              <w:jc w:val="left"/>
              <w:rPr>
                <w:rFonts w:hint="eastAsia" w:ascii="仿宋" w:hAnsi="仿宋" w:eastAsia="仿宋" w:cs="仿宋"/>
                <w:color w:val="000000"/>
                <w:kern w:val="3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30"/>
                <w:sz w:val="20"/>
                <w:szCs w:val="20"/>
                <w:lang w:bidi="ar"/>
              </w:rPr>
              <w:t>法治洱源篇：该篇章共有平面索引1个、法治洱源主题景观造型1个、休息区3个、照壁3个、法文化景观造型3个、水体景观3个、高洁坊牌坊景观造型1个、小景观石10个等。</w:t>
            </w:r>
          </w:p>
        </w:tc>
        <w:tc>
          <w:tcPr>
            <w:tcW w:w="1494" w:type="dxa"/>
            <w:vAlign w:val="center"/>
          </w:tcPr>
          <w:p w14:paraId="0ED9F268">
            <w:pPr>
              <w:spacing w:line="240" w:lineRule="exact"/>
              <w:jc w:val="left"/>
              <w:rPr>
                <w:rFonts w:hint="eastAsia" w:ascii="仿宋" w:hAnsi="仿宋" w:eastAsia="仿宋" w:cs="仿宋"/>
                <w:color w:val="000000"/>
                <w:kern w:val="3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30"/>
                <w:sz w:val="20"/>
                <w:szCs w:val="20"/>
                <w:lang w:bidi="ar"/>
              </w:rPr>
              <w:t>实际建设较合同多法文化景观造型1个，水体景观1个。</w:t>
            </w:r>
          </w:p>
        </w:tc>
      </w:tr>
    </w:tbl>
    <w:p w14:paraId="4777AB94">
      <w:pPr>
        <w:widowControl/>
        <w:overflowPunct w:val="0"/>
        <w:spacing w:line="579" w:lineRule="exact"/>
        <w:ind w:firstLine="600" w:firstLineChars="200"/>
        <w:jc w:val="left"/>
        <w:outlineLvl w:val="1"/>
        <w:rPr>
          <w:rFonts w:hint="eastAsia" w:ascii="仿宋" w:hAnsi="仿宋" w:eastAsia="楷体" w:cs="仿宋"/>
          <w:kern w:val="30"/>
          <w:sz w:val="30"/>
          <w:szCs w:val="30"/>
          <w:lang w:bidi="ar"/>
        </w:rPr>
      </w:pPr>
      <w:r>
        <w:rPr>
          <w:rFonts w:hint="eastAsia" w:ascii="楷体" w:hAnsi="楷体" w:eastAsia="楷体" w:cs="Times New Roman"/>
          <w:kern w:val="30"/>
          <w:sz w:val="30"/>
          <w:szCs w:val="30"/>
        </w:rPr>
        <w:t>（三）缺乏后期管护，管理责任不明确</w:t>
      </w:r>
    </w:p>
    <w:p w14:paraId="54FE1F43">
      <w:pPr>
        <w:spacing w:line="590" w:lineRule="exact"/>
        <w:ind w:firstLine="600" w:firstLineChars="200"/>
        <w:rPr>
          <w:rFonts w:hint="eastAsia" w:ascii="仿宋" w:hAnsi="仿宋" w:eastAsia="仿宋" w:cs="仿宋"/>
          <w:kern w:val="30"/>
          <w:sz w:val="30"/>
          <w:szCs w:val="30"/>
          <w:lang w:bidi="ar"/>
        </w:rPr>
      </w:pPr>
      <w:r>
        <w:rPr>
          <w:rFonts w:hint="eastAsia" w:ascii="仿宋" w:hAnsi="仿宋" w:eastAsia="仿宋" w:cs="仿宋"/>
          <w:kern w:val="30"/>
          <w:sz w:val="30"/>
          <w:szCs w:val="30"/>
          <w:lang w:bidi="ar"/>
        </w:rPr>
        <w:t>项目建设单位未建立专门项目管理制度，且项目根据部门内控制度管理实施，未有明确的专项资金管理制度，跟踪管理机制。通过调查问卷了解到，洱源县廉洁·法治文化主题公园项目在法治宣传、法律知识学习、法治观念增强等方面取得了较好效果，对城市环境提升和法治文化阵地建设起到积极作用。然而，仍有部分参与者提出需要加强宣传、管理、更新设施等建议，建议相关管理部门进一步改进和完善公园的设计和运营，以更好地服务群众。</w:t>
      </w:r>
    </w:p>
    <w:p w14:paraId="340226A8">
      <w:pPr>
        <w:spacing w:line="579" w:lineRule="exact"/>
        <w:ind w:firstLine="600" w:firstLineChars="200"/>
        <w:outlineLvl w:val="0"/>
        <w:rPr>
          <w:rFonts w:hint="eastAsia" w:ascii="黑体" w:hAnsi="黑体" w:eastAsia="黑体" w:cs="黑体"/>
          <w:kern w:val="30"/>
          <w:sz w:val="30"/>
          <w:szCs w:val="30"/>
        </w:rPr>
      </w:pPr>
      <w:r>
        <w:rPr>
          <w:rFonts w:hint="eastAsia" w:ascii="黑体" w:hAnsi="黑体" w:eastAsia="黑体" w:cs="黑体"/>
          <w:kern w:val="30"/>
          <w:sz w:val="30"/>
          <w:szCs w:val="30"/>
        </w:rPr>
        <w:t>四、建议</w:t>
      </w:r>
    </w:p>
    <w:p w14:paraId="5191C24A">
      <w:pPr>
        <w:widowControl/>
        <w:spacing w:line="590" w:lineRule="exact"/>
        <w:ind w:firstLine="632"/>
        <w:outlineLvl w:val="1"/>
        <w:rPr>
          <w:rFonts w:hint="eastAsia" w:ascii="楷体" w:hAnsi="楷体" w:eastAsia="楷体" w:cs="Times New Roman"/>
          <w:kern w:val="30"/>
          <w:sz w:val="30"/>
          <w:szCs w:val="30"/>
        </w:rPr>
      </w:pPr>
      <w:r>
        <w:rPr>
          <w:rFonts w:hint="eastAsia" w:ascii="楷体" w:hAnsi="楷体" w:eastAsia="楷体" w:cs="Times New Roman"/>
          <w:kern w:val="30"/>
          <w:sz w:val="30"/>
          <w:szCs w:val="30"/>
        </w:rPr>
        <w:t>（一）</w:t>
      </w:r>
      <w:r>
        <w:rPr>
          <w:rFonts w:hint="eastAsia" w:ascii="楷体" w:hAnsi="楷体" w:eastAsia="楷体" w:cs="Times New Roman"/>
          <w:spacing w:val="6"/>
          <w:kern w:val="30"/>
          <w:sz w:val="30"/>
          <w:szCs w:val="21"/>
        </w:rPr>
        <w:t>提升绩效管理意识</w:t>
      </w:r>
      <w:r>
        <w:rPr>
          <w:rFonts w:hint="eastAsia" w:ascii="楷体" w:hAnsi="楷体" w:eastAsia="楷体" w:cs="Times New Roman"/>
          <w:kern w:val="30"/>
          <w:sz w:val="30"/>
          <w:szCs w:val="30"/>
        </w:rPr>
        <w:t>，规范自评工作</w:t>
      </w:r>
    </w:p>
    <w:p w14:paraId="5FD760C1">
      <w:pPr>
        <w:spacing w:line="590" w:lineRule="exact"/>
        <w:ind w:firstLine="600" w:firstLineChars="200"/>
        <w:rPr>
          <w:rFonts w:hint="eastAsia" w:ascii="仿宋" w:hAnsi="仿宋" w:eastAsia="仿宋" w:cs="仿宋"/>
          <w:kern w:val="30"/>
          <w:sz w:val="30"/>
          <w:szCs w:val="30"/>
          <w:lang w:bidi="ar"/>
        </w:rPr>
      </w:pPr>
      <w:r>
        <w:rPr>
          <w:rFonts w:hint="eastAsia" w:ascii="仿宋" w:hAnsi="仿宋" w:eastAsia="仿宋" w:cs="仿宋"/>
          <w:kern w:val="30"/>
          <w:sz w:val="30"/>
          <w:szCs w:val="30"/>
          <w:lang w:bidi="ar"/>
        </w:rPr>
        <w:t>申报年初预算时应结合政策目标、工作重点、工作计划等梳理项目绩效目标，强化绩效目标对项目实施的引导、约束作用；在完善绩效目标的基础上设置科学合理的绩效指标，绩效指标应完整具体、可衡量，充分反映项目目标和特点。规范绩效自评方法，进一步加强完善绩效自评工作。合理细化设置绩效指标，产出指标、效果指标应全面反映项目实施的具体情况，保障项目自评工作开展的有效性。</w:t>
      </w:r>
    </w:p>
    <w:p w14:paraId="64A7BE14">
      <w:pPr>
        <w:widowControl/>
        <w:spacing w:line="560" w:lineRule="exact"/>
        <w:ind w:firstLine="632"/>
        <w:outlineLvl w:val="1"/>
        <w:rPr>
          <w:rFonts w:hint="eastAsia" w:ascii="楷体" w:hAnsi="楷体" w:eastAsia="楷体" w:cs="Times New Roman"/>
          <w:kern w:val="30"/>
          <w:sz w:val="30"/>
          <w:szCs w:val="30"/>
        </w:rPr>
      </w:pPr>
      <w:r>
        <w:rPr>
          <w:rFonts w:hint="eastAsia" w:ascii="楷体" w:hAnsi="楷体" w:eastAsia="楷体" w:cs="Times New Roman"/>
          <w:kern w:val="30"/>
          <w:sz w:val="30"/>
          <w:szCs w:val="30"/>
        </w:rPr>
        <w:t>（二）加强项目管理，提高管理规范性</w:t>
      </w:r>
    </w:p>
    <w:p w14:paraId="1233E9AC">
      <w:pPr>
        <w:spacing w:line="590" w:lineRule="exact"/>
        <w:ind w:firstLine="600" w:firstLineChars="200"/>
        <w:rPr>
          <w:rFonts w:hint="eastAsia" w:ascii="仿宋" w:hAnsi="仿宋" w:eastAsia="仿宋" w:cs="Times New Roman"/>
          <w:kern w:val="30"/>
          <w:sz w:val="30"/>
          <w:szCs w:val="30"/>
        </w:rPr>
      </w:pPr>
      <w:r>
        <w:rPr>
          <w:rFonts w:hint="eastAsia" w:ascii="仿宋" w:hAnsi="仿宋" w:eastAsia="仿宋" w:cs="仿宋"/>
          <w:kern w:val="30"/>
          <w:sz w:val="30"/>
          <w:szCs w:val="30"/>
          <w:lang w:bidi="ar"/>
        </w:rPr>
        <w:t>完善内部管理机制。建立健全合同管理机制，包括合同审批、签署、执行和归档等环节，确保合同管理的规范化和标准化。加强财务人员的合同意识，提高对合同条款的审查能力，确保付款行为的合法性和合规性。加强监管部门的合同审查力度。</w:t>
      </w:r>
    </w:p>
    <w:p w14:paraId="6C982E3E">
      <w:pPr>
        <w:widowControl/>
        <w:spacing w:line="560" w:lineRule="exact"/>
        <w:ind w:firstLine="632"/>
        <w:outlineLvl w:val="1"/>
        <w:rPr>
          <w:rFonts w:hint="eastAsia" w:ascii="楷体" w:hAnsi="楷体" w:eastAsia="楷体" w:cs="Times New Roman"/>
          <w:kern w:val="30"/>
          <w:sz w:val="30"/>
          <w:szCs w:val="30"/>
        </w:rPr>
      </w:pPr>
      <w:r>
        <w:rPr>
          <w:rFonts w:hint="eastAsia" w:ascii="楷体" w:hAnsi="楷体" w:eastAsia="楷体" w:cs="Times New Roman"/>
          <w:kern w:val="30"/>
          <w:sz w:val="30"/>
          <w:szCs w:val="30"/>
        </w:rPr>
        <w:t>（三）完善管护机制，增强项目效益</w:t>
      </w:r>
    </w:p>
    <w:p w14:paraId="78DC0405">
      <w:pPr>
        <w:spacing w:line="590" w:lineRule="exact"/>
        <w:ind w:firstLine="600" w:firstLineChars="200"/>
        <w:rPr>
          <w:rFonts w:hint="eastAsia" w:ascii="仿宋" w:hAnsi="仿宋" w:eastAsia="仿宋" w:cs="仿宋"/>
          <w:kern w:val="30"/>
          <w:sz w:val="30"/>
          <w:szCs w:val="30"/>
          <w:lang w:bidi="ar"/>
        </w:rPr>
      </w:pPr>
      <w:r>
        <w:rPr>
          <w:rFonts w:hint="eastAsia" w:ascii="仿宋" w:hAnsi="仿宋" w:eastAsia="仿宋" w:cs="仿宋"/>
          <w:kern w:val="30"/>
          <w:sz w:val="30"/>
          <w:szCs w:val="30"/>
          <w:lang w:bidi="ar"/>
        </w:rPr>
        <w:t>一是严格落实管护责任。进一步落实参建各方责任，分类开展处置工作，并拟定移交方案，做好督促跟踪工作，确保已建成城市公园公益属性，明确管理责任单位。二是建立健全工作机制。制定完善城市公园移交管理办法等政策文件，结合县区工作实际，建立健全城市公园移交管理相关工作机制，明确管理责任单位，落实日常管护资金，保障城市公园建设管理有效衔接、管护到位。</w:t>
      </w:r>
    </w:p>
    <w:sectPr>
      <w:footerReference r:id="rId3" w:type="default"/>
      <w:pgSz w:w="11906" w:h="16838"/>
      <w:pgMar w:top="1417" w:right="1440" w:bottom="1417" w:left="144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EB9EB0">
    <w:pPr>
      <w:pStyle w:val="2"/>
      <w:rPr>
        <w:rFonts w:hint="eastAsia" w:ascii="宋体" w:hAnsi="宋体" w:eastAsia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EB42C36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EB42C36"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600"/>
    <w:rsid w:val="000B0C6C"/>
    <w:rsid w:val="000D1D06"/>
    <w:rsid w:val="00137035"/>
    <w:rsid w:val="003F750A"/>
    <w:rsid w:val="0045794B"/>
    <w:rsid w:val="004671C7"/>
    <w:rsid w:val="004A308A"/>
    <w:rsid w:val="004F1F1F"/>
    <w:rsid w:val="00502283"/>
    <w:rsid w:val="008234CB"/>
    <w:rsid w:val="008472A2"/>
    <w:rsid w:val="008F1B5F"/>
    <w:rsid w:val="00924600"/>
    <w:rsid w:val="00932E75"/>
    <w:rsid w:val="00AB0C43"/>
    <w:rsid w:val="00BA5269"/>
    <w:rsid w:val="00C8351B"/>
    <w:rsid w:val="00F35973"/>
    <w:rsid w:val="18EC3F9E"/>
    <w:rsid w:val="488D5F3A"/>
    <w:rsid w:val="7109677B"/>
    <w:rsid w:val="75A2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table" w:customStyle="1" w:styleId="9">
    <w:name w:val="网格型1"/>
    <w:basedOn w:val="4"/>
    <w:qFormat/>
    <w:uiPriority w:val="3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513</Words>
  <Characters>2925</Characters>
  <Lines>24</Lines>
  <Paragraphs>6</Paragraphs>
  <TotalTime>2</TotalTime>
  <ScaleCrop>false</ScaleCrop>
  <LinksUpToDate>false</LinksUpToDate>
  <CharactersWithSpaces>3432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2024-11-29T01:46:00Z</dcterms:created>
  <dc:creator>Jiankun Yang</dc:creator>
  <cp:lastModifiedBy>李银淑</cp:lastModifiedBy>
  <dcterms:modified xsi:type="dcterms:W3CDTF">2025-02-20T02:57:38Z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06B5CB44CC7B4A10B4686F7B20B84EB0_12</vt:lpwstr>
  </property>
</Properties>
</file>