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D30C4">
      <w:pPr>
        <w:pStyle w:val="2"/>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仿宋" w:eastAsia="方正小标宋简体" w:cs="Times New Roman"/>
          <w:sz w:val="44"/>
          <w:szCs w:val="44"/>
        </w:rPr>
      </w:pPr>
      <w:bookmarkStart w:id="2" w:name="_GoBack"/>
      <w:bookmarkStart w:id="0" w:name="_Hlk180138807"/>
      <w:r>
        <w:rPr>
          <w:rFonts w:hint="eastAsia" w:ascii="方正小标宋简体" w:hAnsi="仿宋" w:eastAsia="方正小标宋简体" w:cs="Times New Roman"/>
          <w:sz w:val="44"/>
          <w:szCs w:val="44"/>
        </w:rPr>
        <w:t>2023年洱源县城乡居民医疗保险</w:t>
      </w:r>
    </w:p>
    <w:p w14:paraId="7374A033">
      <w:pPr>
        <w:pStyle w:val="2"/>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基金项目绩效评价报告</w:t>
      </w:r>
    </w:p>
    <w:p w14:paraId="5C32ABED">
      <w:pPr>
        <w:pStyle w:val="2"/>
        <w:keepNext w:val="0"/>
        <w:keepLines w:val="0"/>
        <w:pageBreakBefore w:val="0"/>
        <w:kinsoku/>
        <w:wordWrap/>
        <w:overflowPunct/>
        <w:topLinePunct w:val="0"/>
        <w:autoSpaceDE/>
        <w:autoSpaceDN/>
        <w:bidi w:val="0"/>
        <w:adjustRightInd/>
        <w:spacing w:line="600" w:lineRule="exact"/>
        <w:jc w:val="center"/>
        <w:textAlignment w:val="auto"/>
        <w:rPr>
          <w:rFonts w:hint="eastAsia" w:ascii="仿宋" w:hAnsi="仿宋" w:eastAsia="仿宋" w:cs="Times New Roman"/>
          <w:sz w:val="30"/>
          <w:szCs w:val="30"/>
          <w:highlight w:val="yellow"/>
        </w:rPr>
      </w:pPr>
    </w:p>
    <w:p w14:paraId="1EFA966A">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sz w:val="30"/>
          <w:szCs w:val="30"/>
        </w:rPr>
      </w:pPr>
      <w:r>
        <w:rPr>
          <w:rFonts w:ascii="仿宋" w:hAnsi="仿宋" w:eastAsia="仿宋"/>
          <w:sz w:val="30"/>
          <w:szCs w:val="30"/>
        </w:rPr>
        <w:t>为贯彻落实</w:t>
      </w:r>
      <w:r>
        <w:rPr>
          <w:rFonts w:hint="eastAsia" w:ascii="仿宋" w:hAnsi="仿宋" w:eastAsia="仿宋"/>
          <w:sz w:val="30"/>
          <w:szCs w:val="30"/>
        </w:rPr>
        <w:t>《中共洱源县委 洱源县人民政府关于全面实施预算绩效管理的实施意见》（洱发〔2020〕12号）</w:t>
      </w:r>
      <w:r>
        <w:rPr>
          <w:rFonts w:ascii="仿宋" w:hAnsi="仿宋" w:eastAsia="仿宋"/>
          <w:sz w:val="30"/>
          <w:szCs w:val="30"/>
        </w:rPr>
        <w:t>等文件精神，根据</w:t>
      </w:r>
      <w:r>
        <w:rPr>
          <w:rFonts w:hint="eastAsia" w:ascii="仿宋" w:hAnsi="仿宋" w:eastAsia="仿宋"/>
          <w:sz w:val="30"/>
          <w:szCs w:val="30"/>
        </w:rPr>
        <w:t>《洱源县财政局关于开展2024年预算支出财政绩效评价的通知》（洱财绩〔2024〕2号）的要求</w:t>
      </w:r>
      <w:r>
        <w:rPr>
          <w:rFonts w:ascii="仿宋" w:hAnsi="仿宋" w:eastAsia="仿宋"/>
          <w:sz w:val="30"/>
          <w:szCs w:val="30"/>
        </w:rPr>
        <w:t>，云南永盛会计师事务所接受</w:t>
      </w:r>
      <w:r>
        <w:rPr>
          <w:rFonts w:hint="eastAsia" w:ascii="仿宋" w:hAnsi="仿宋" w:eastAsia="仿宋"/>
          <w:sz w:val="30"/>
          <w:szCs w:val="30"/>
        </w:rPr>
        <w:t>洱源</w:t>
      </w:r>
      <w:r>
        <w:rPr>
          <w:rFonts w:ascii="仿宋" w:hAnsi="仿宋" w:eastAsia="仿宋"/>
          <w:sz w:val="30"/>
          <w:szCs w:val="30"/>
        </w:rPr>
        <w:t>县财政局委托，于202</w:t>
      </w:r>
      <w:r>
        <w:rPr>
          <w:rFonts w:hint="eastAsia" w:ascii="仿宋" w:hAnsi="仿宋" w:eastAsia="仿宋"/>
          <w:sz w:val="30"/>
          <w:szCs w:val="30"/>
        </w:rPr>
        <w:t>4</w:t>
      </w:r>
      <w:r>
        <w:rPr>
          <w:rFonts w:ascii="仿宋" w:hAnsi="仿宋" w:eastAsia="仿宋"/>
          <w:sz w:val="30"/>
          <w:szCs w:val="30"/>
        </w:rPr>
        <w:t>年</w:t>
      </w:r>
      <w:r>
        <w:rPr>
          <w:rFonts w:hint="eastAsia" w:ascii="仿宋" w:hAnsi="仿宋" w:eastAsia="仿宋"/>
          <w:sz w:val="30"/>
          <w:szCs w:val="30"/>
        </w:rPr>
        <w:t>8月至</w:t>
      </w:r>
      <w:r>
        <w:rPr>
          <w:rFonts w:ascii="仿宋" w:hAnsi="仿宋" w:eastAsia="仿宋"/>
          <w:sz w:val="30"/>
          <w:szCs w:val="30"/>
        </w:rPr>
        <w:t>10月对</w:t>
      </w:r>
      <w:r>
        <w:rPr>
          <w:rFonts w:hint="eastAsia" w:ascii="仿宋" w:hAnsi="仿宋" w:eastAsia="仿宋"/>
          <w:sz w:val="30"/>
          <w:szCs w:val="30"/>
        </w:rPr>
        <w:t>2023年洱源县城乡居民医疗保险基金项目开展绩效评价</w:t>
      </w:r>
      <w:r>
        <w:rPr>
          <w:rFonts w:ascii="仿宋" w:hAnsi="仿宋" w:eastAsia="仿宋"/>
          <w:sz w:val="30"/>
          <w:szCs w:val="30"/>
        </w:rPr>
        <w:t>。现将评价情况报告如下：</w:t>
      </w:r>
    </w:p>
    <w:p w14:paraId="0E6928E4">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黑体" w:hAnsi="黑体" w:eastAsia="黑体" w:cs="楷体"/>
          <w:kern w:val="30"/>
          <w:sz w:val="30"/>
          <w:szCs w:val="30"/>
        </w:rPr>
      </w:pPr>
      <w:r>
        <w:rPr>
          <w:rFonts w:ascii="黑体" w:hAnsi="黑体" w:eastAsia="黑体" w:cs="楷体"/>
          <w:kern w:val="30"/>
          <w:sz w:val="30"/>
          <w:szCs w:val="30"/>
        </w:rPr>
        <w:t>一、基本情况</w:t>
      </w:r>
    </w:p>
    <w:p w14:paraId="73527822">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楷体" w:hAnsi="楷体" w:eastAsia="楷体" w:cs="楷体"/>
          <w:kern w:val="30"/>
          <w:sz w:val="30"/>
          <w:szCs w:val="30"/>
        </w:rPr>
      </w:pPr>
      <w:r>
        <w:rPr>
          <w:rFonts w:ascii="楷体" w:hAnsi="楷体" w:eastAsia="楷体" w:cs="楷体"/>
          <w:kern w:val="30"/>
          <w:sz w:val="30"/>
          <w:szCs w:val="30"/>
        </w:rPr>
        <w:t>（一）项目概况</w:t>
      </w:r>
    </w:p>
    <w:p w14:paraId="3DD7B13B">
      <w:pPr>
        <w:keepNext w:val="0"/>
        <w:keepLines w:val="0"/>
        <w:pageBreakBefore w:val="0"/>
        <w:widowControl/>
        <w:kinsoku/>
        <w:wordWrap/>
        <w:overflowPunct/>
        <w:topLinePunct w:val="0"/>
        <w:autoSpaceDE/>
        <w:autoSpaceDN/>
        <w:bidi w:val="0"/>
        <w:adjustRightInd/>
        <w:spacing w:line="6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为解决广大人民群众的医疗保障问题，不断完善医疗保障制度，维护城乡居民公平享受医疗保险权益，促进社会和谐发展， 根据《大理白族自治州医疗保障局关于印发大理州城乡居民基本医疗保险实施办法（修订）的通知》（大医保规〔2019〕1号）等文件要求，明确了城乡居民基本医疗保险实行州级统筹、分级管理、分级负责，坚持政府补助与个人筹资相结合、保障水平与经济社会发展相适应的原则。全州执行统一的筹资标准，参保人员应当按照年度标准一次性缴纳医疗保险费。城乡居民基本医疗保险补助纳入同级财政年度预算予以保障，鼓励集体、单位或其他社会经济组织对困难城乡居民个人缴费给予资助。2023年洱源县城乡居民医疗保险基金项目执行上级城乡居民医疗保险相关制度。</w:t>
      </w:r>
    </w:p>
    <w:p w14:paraId="16B6E819">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楷体" w:hAnsi="楷体" w:eastAsia="楷体" w:cs="楷体"/>
          <w:kern w:val="30"/>
          <w:sz w:val="30"/>
          <w:szCs w:val="30"/>
        </w:rPr>
      </w:pPr>
      <w:r>
        <w:rPr>
          <w:rFonts w:ascii="楷体" w:hAnsi="楷体" w:eastAsia="楷体" w:cs="楷体"/>
          <w:kern w:val="30"/>
          <w:sz w:val="30"/>
          <w:szCs w:val="30"/>
        </w:rPr>
        <w:t>（二）</w:t>
      </w:r>
      <w:r>
        <w:rPr>
          <w:rFonts w:hint="eastAsia" w:ascii="楷体" w:hAnsi="楷体" w:eastAsia="楷体" w:cs="楷体"/>
          <w:kern w:val="30"/>
          <w:sz w:val="30"/>
          <w:szCs w:val="30"/>
        </w:rPr>
        <w:t>基金</w:t>
      </w:r>
      <w:r>
        <w:rPr>
          <w:rFonts w:ascii="楷体" w:hAnsi="楷体" w:eastAsia="楷体" w:cs="楷体"/>
          <w:kern w:val="30"/>
          <w:sz w:val="30"/>
          <w:szCs w:val="30"/>
        </w:rPr>
        <w:t>收支情况</w:t>
      </w:r>
    </w:p>
    <w:p w14:paraId="01F2BB63">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洱源县医疗保障局2023年城乡居民基本医疗保险无上年结余资金，2023年收入20,821.48万元，其中基本医疗保险费收入9,701.43万元（个人缴费收入9,132.40万元</w:t>
      </w:r>
      <w:r>
        <w:rPr>
          <w:rFonts w:hint="eastAsia" w:eastAsia="仿宋" w:cs="Calibri"/>
          <w:sz w:val="30"/>
          <w:szCs w:val="30"/>
        </w:rPr>
        <w:t>、</w:t>
      </w:r>
      <w:r>
        <w:rPr>
          <w:rFonts w:hint="eastAsia" w:ascii="仿宋" w:hAnsi="仿宋" w:eastAsia="仿宋"/>
          <w:sz w:val="30"/>
          <w:szCs w:val="30"/>
        </w:rPr>
        <w:t>城乡医疗救助资助收入569.03万元），利息收入26.66万元，财政补贴收入805.14万元（按规定标准财政补助收入791.45万元、对医保基金负担新冠病毒疫苗及接种费用的补助13.69万元），其他收入143.25万元，上级补助收入10,145万元；2023年支出20,481.83万元，其中基本医疗保险待遇支出9,057.93万元（住院支出6,033.53万元、门诊大病1,069.43万元、门诊统筹1,859.91万元、其他95.06万元），上解上级支出11,423.90万元，年末滚存结余339.65万元。</w:t>
      </w:r>
    </w:p>
    <w:p w14:paraId="580B7033">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楷体" w:hAnsi="楷体" w:eastAsia="楷体" w:cs="楷体"/>
          <w:kern w:val="30"/>
          <w:sz w:val="30"/>
          <w:szCs w:val="30"/>
        </w:rPr>
      </w:pPr>
      <w:r>
        <w:rPr>
          <w:rFonts w:ascii="楷体" w:hAnsi="楷体" w:eastAsia="楷体" w:cs="楷体"/>
          <w:kern w:val="30"/>
          <w:sz w:val="30"/>
          <w:szCs w:val="30"/>
        </w:rPr>
        <w:t>（三）项目实施内容</w:t>
      </w:r>
    </w:p>
    <w:p w14:paraId="49DC26F3">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根据《大理白族自治州医疗保障局关于印发大理州城乡居民基本医疗保险实施办法（修订）的通知》（大医保规〔2019〕1号）、《大理州医疗保障局 大理州财政局关于印发大理州医疗保障制度筹资及待遇政策实施细则（2022年版）的通知》（大医保通〔2022〕58号）等文件相关要求，2023年洱源县城乡居民医疗保险基金项目具体业务管理情况如下：根据大理州城乡居民基本医疗保险实施办法明确参保对象的范围，基金筹集及管理，</w:t>
      </w:r>
      <w:bookmarkStart w:id="1" w:name="_Hlk180139986"/>
      <w:r>
        <w:rPr>
          <w:rFonts w:hint="eastAsia" w:ascii="仿宋" w:hAnsi="仿宋" w:eastAsia="仿宋"/>
          <w:sz w:val="30"/>
          <w:szCs w:val="30"/>
        </w:rPr>
        <w:t>医疗保险待遇支出</w:t>
      </w:r>
      <w:bookmarkEnd w:id="1"/>
      <w:r>
        <w:rPr>
          <w:rFonts w:hint="eastAsia" w:ascii="仿宋" w:hAnsi="仿宋" w:eastAsia="仿宋"/>
          <w:sz w:val="30"/>
          <w:szCs w:val="30"/>
        </w:rPr>
        <w:t>的范围和标准，（医疗保险待遇支出包括普通门诊医疗待遇支出、住院医疗待遇支出、慢性病及特殊病门诊医疗待遇支出、生育分娩医疗待遇支出、大病保险医疗待遇支出、医疗救助待遇支出），执行州级统一的筹资标准，参保人员应当按照年度标准一次性缴纳医疗保险费</w:t>
      </w:r>
      <w:r>
        <w:rPr>
          <w:rFonts w:ascii="仿宋" w:hAnsi="仿宋" w:eastAsia="仿宋"/>
          <w:sz w:val="30"/>
          <w:szCs w:val="30"/>
        </w:rPr>
        <w:t>。</w:t>
      </w:r>
    </w:p>
    <w:p w14:paraId="1DCF21A1">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黑体" w:hAnsi="黑体" w:eastAsia="黑体" w:cs="楷体"/>
          <w:kern w:val="30"/>
          <w:sz w:val="30"/>
          <w:szCs w:val="30"/>
        </w:rPr>
      </w:pPr>
      <w:r>
        <w:rPr>
          <w:rFonts w:ascii="黑体" w:hAnsi="黑体" w:eastAsia="黑体" w:cs="楷体"/>
          <w:kern w:val="30"/>
          <w:sz w:val="30"/>
          <w:szCs w:val="30"/>
        </w:rPr>
        <w:t>二、绩效评价结论</w:t>
      </w:r>
    </w:p>
    <w:p w14:paraId="2E49DFCD">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2023年洱源县城乡居民医疗保险基金项目绩效评价得分88.97分，评价等级为“良”。一级指标具体得分情况详见下表：</w:t>
      </w:r>
    </w:p>
    <w:p w14:paraId="631B8BCB">
      <w:pPr>
        <w:keepNext w:val="0"/>
        <w:keepLines w:val="0"/>
        <w:pageBreakBefore w:val="0"/>
        <w:tabs>
          <w:tab w:val="center" w:pos="4153"/>
          <w:tab w:val="right" w:pos="8306"/>
        </w:tabs>
        <w:kinsoku/>
        <w:wordWrap/>
        <w:overflowPunct/>
        <w:topLinePunct w:val="0"/>
        <w:autoSpaceDE/>
        <w:autoSpaceDN/>
        <w:bidi w:val="0"/>
        <w:adjustRightInd/>
        <w:snapToGrid w:val="0"/>
        <w:spacing w:line="600" w:lineRule="exact"/>
        <w:jc w:val="center"/>
        <w:textAlignment w:val="auto"/>
        <w:rPr>
          <w:rFonts w:hint="eastAsia" w:ascii="黑体" w:hAnsi="黑体" w:eastAsia="黑体"/>
          <w:sz w:val="24"/>
          <w:szCs w:val="24"/>
        </w:rPr>
      </w:pPr>
      <w:r>
        <w:rPr>
          <w:rFonts w:hint="eastAsia" w:ascii="黑体" w:hAnsi="黑体" w:eastAsia="黑体"/>
          <w:sz w:val="24"/>
          <w:szCs w:val="24"/>
        </w:rPr>
        <w:t>表：绩效评价得分情况表</w:t>
      </w:r>
    </w:p>
    <w:tbl>
      <w:tblPr>
        <w:tblStyle w:val="4"/>
        <w:tblpPr w:leftFromText="180" w:rightFromText="180" w:vertAnchor="page" w:horzAnchor="margin" w:tblpY="4821"/>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4"/>
        <w:gridCol w:w="2213"/>
        <w:gridCol w:w="2213"/>
        <w:gridCol w:w="2213"/>
      </w:tblGrid>
      <w:tr w14:paraId="330D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4" w:hRule="atLeast"/>
          <w:tblHeader/>
        </w:trPr>
        <w:tc>
          <w:tcPr>
            <w:tcW w:w="2214" w:type="dxa"/>
            <w:tcBorders>
              <w:top w:val="single" w:color="auto" w:sz="4" w:space="0"/>
            </w:tcBorders>
            <w:vAlign w:val="center"/>
          </w:tcPr>
          <w:p w14:paraId="2EB36AE6">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b/>
                <w:bCs/>
                <w:spacing w:val="6"/>
                <w:kern w:val="30"/>
                <w:sz w:val="20"/>
                <w:szCs w:val="20"/>
              </w:rPr>
            </w:pPr>
            <w:r>
              <w:rPr>
                <w:rFonts w:hint="eastAsia" w:ascii="仿宋" w:hAnsi="仿宋" w:eastAsia="仿宋" w:cs="宋体"/>
                <w:b/>
                <w:bCs/>
                <w:spacing w:val="6"/>
                <w:kern w:val="30"/>
                <w:sz w:val="20"/>
                <w:szCs w:val="20"/>
              </w:rPr>
              <w:t>一级指标</w:t>
            </w:r>
          </w:p>
        </w:tc>
        <w:tc>
          <w:tcPr>
            <w:tcW w:w="2213" w:type="dxa"/>
            <w:tcBorders>
              <w:top w:val="single" w:color="auto" w:sz="4" w:space="0"/>
            </w:tcBorders>
            <w:vAlign w:val="center"/>
          </w:tcPr>
          <w:p w14:paraId="3418BC04">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b/>
                <w:bCs/>
                <w:spacing w:val="6"/>
                <w:kern w:val="30"/>
                <w:sz w:val="20"/>
                <w:szCs w:val="20"/>
              </w:rPr>
            </w:pPr>
            <w:r>
              <w:rPr>
                <w:rFonts w:hint="eastAsia" w:ascii="仿宋" w:hAnsi="仿宋" w:eastAsia="仿宋" w:cs="宋体"/>
                <w:b/>
                <w:bCs/>
                <w:spacing w:val="6"/>
                <w:kern w:val="30"/>
                <w:sz w:val="20"/>
                <w:szCs w:val="20"/>
              </w:rPr>
              <w:t>指标分值</w:t>
            </w:r>
          </w:p>
        </w:tc>
        <w:tc>
          <w:tcPr>
            <w:tcW w:w="2213" w:type="dxa"/>
            <w:tcBorders>
              <w:top w:val="single" w:color="auto" w:sz="4" w:space="0"/>
            </w:tcBorders>
            <w:vAlign w:val="center"/>
          </w:tcPr>
          <w:p w14:paraId="33F1C3B7">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b/>
                <w:bCs/>
                <w:spacing w:val="6"/>
                <w:kern w:val="30"/>
                <w:sz w:val="20"/>
                <w:szCs w:val="20"/>
              </w:rPr>
            </w:pPr>
            <w:r>
              <w:rPr>
                <w:rFonts w:hint="eastAsia" w:ascii="仿宋" w:hAnsi="仿宋" w:eastAsia="仿宋" w:cs="宋体"/>
                <w:b/>
                <w:bCs/>
                <w:spacing w:val="6"/>
                <w:kern w:val="30"/>
                <w:sz w:val="20"/>
                <w:szCs w:val="20"/>
              </w:rPr>
              <w:t>评价得分</w:t>
            </w:r>
          </w:p>
        </w:tc>
        <w:tc>
          <w:tcPr>
            <w:tcW w:w="2213" w:type="dxa"/>
            <w:tcBorders>
              <w:top w:val="single" w:color="auto" w:sz="4" w:space="0"/>
            </w:tcBorders>
            <w:vAlign w:val="center"/>
          </w:tcPr>
          <w:p w14:paraId="5CEE0A49">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b/>
                <w:bCs/>
                <w:spacing w:val="6"/>
                <w:kern w:val="30"/>
                <w:sz w:val="20"/>
                <w:szCs w:val="20"/>
              </w:rPr>
            </w:pPr>
            <w:r>
              <w:rPr>
                <w:rFonts w:hint="eastAsia" w:ascii="仿宋" w:hAnsi="仿宋" w:eastAsia="仿宋" w:cs="宋体"/>
                <w:b/>
                <w:bCs/>
                <w:spacing w:val="6"/>
                <w:kern w:val="30"/>
                <w:sz w:val="20"/>
                <w:szCs w:val="20"/>
              </w:rPr>
              <w:t>得分率</w:t>
            </w:r>
          </w:p>
        </w:tc>
      </w:tr>
      <w:tr w14:paraId="2BE9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6" w:hRule="atLeast"/>
        </w:trPr>
        <w:tc>
          <w:tcPr>
            <w:tcW w:w="2214" w:type="dxa"/>
            <w:vAlign w:val="center"/>
          </w:tcPr>
          <w:p w14:paraId="28C00C08">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决策</w:t>
            </w:r>
          </w:p>
        </w:tc>
        <w:tc>
          <w:tcPr>
            <w:tcW w:w="2213" w:type="dxa"/>
            <w:vAlign w:val="center"/>
          </w:tcPr>
          <w:p w14:paraId="6A9A4AB2">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ascii="仿宋" w:hAnsi="仿宋" w:eastAsia="仿宋" w:cs="宋体"/>
                <w:spacing w:val="6"/>
                <w:kern w:val="30"/>
                <w:sz w:val="20"/>
                <w:szCs w:val="20"/>
              </w:rPr>
              <w:t>15</w:t>
            </w:r>
          </w:p>
        </w:tc>
        <w:tc>
          <w:tcPr>
            <w:tcW w:w="2213" w:type="dxa"/>
            <w:vAlign w:val="center"/>
          </w:tcPr>
          <w:p w14:paraId="3C308CEB">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13.00</w:t>
            </w:r>
          </w:p>
        </w:tc>
        <w:tc>
          <w:tcPr>
            <w:tcW w:w="2213" w:type="dxa"/>
            <w:vAlign w:val="center"/>
          </w:tcPr>
          <w:p w14:paraId="2D9AEFAF">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86.67%</w:t>
            </w:r>
          </w:p>
        </w:tc>
      </w:tr>
      <w:tr w14:paraId="236A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trPr>
        <w:tc>
          <w:tcPr>
            <w:tcW w:w="2214" w:type="dxa"/>
            <w:vAlign w:val="center"/>
          </w:tcPr>
          <w:p w14:paraId="45F750AA">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ascii="仿宋" w:hAnsi="仿宋" w:eastAsia="仿宋" w:cs="宋体"/>
                <w:spacing w:val="6"/>
                <w:kern w:val="30"/>
                <w:sz w:val="20"/>
                <w:szCs w:val="20"/>
              </w:rPr>
              <w:t>过程</w:t>
            </w:r>
          </w:p>
        </w:tc>
        <w:tc>
          <w:tcPr>
            <w:tcW w:w="2213" w:type="dxa"/>
            <w:vAlign w:val="center"/>
          </w:tcPr>
          <w:p w14:paraId="3BDE6459">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ascii="仿宋" w:hAnsi="仿宋" w:eastAsia="仿宋" w:cs="宋体"/>
                <w:spacing w:val="6"/>
                <w:kern w:val="30"/>
                <w:sz w:val="20"/>
                <w:szCs w:val="20"/>
              </w:rPr>
              <w:t>20</w:t>
            </w:r>
          </w:p>
        </w:tc>
        <w:tc>
          <w:tcPr>
            <w:tcW w:w="2213" w:type="dxa"/>
            <w:vAlign w:val="center"/>
          </w:tcPr>
          <w:p w14:paraId="5DBC74F6">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17.45</w:t>
            </w:r>
          </w:p>
        </w:tc>
        <w:tc>
          <w:tcPr>
            <w:tcW w:w="2213" w:type="dxa"/>
            <w:vAlign w:val="center"/>
          </w:tcPr>
          <w:p w14:paraId="21DFD7E9">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87.25%</w:t>
            </w:r>
          </w:p>
        </w:tc>
      </w:tr>
      <w:tr w14:paraId="53C5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7" w:hRule="atLeast"/>
        </w:trPr>
        <w:tc>
          <w:tcPr>
            <w:tcW w:w="2214" w:type="dxa"/>
            <w:vAlign w:val="center"/>
          </w:tcPr>
          <w:p w14:paraId="54DE974C">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ascii="仿宋" w:hAnsi="仿宋" w:eastAsia="仿宋" w:cs="宋体"/>
                <w:spacing w:val="6"/>
                <w:kern w:val="30"/>
                <w:sz w:val="20"/>
                <w:szCs w:val="20"/>
              </w:rPr>
              <w:t>产出</w:t>
            </w:r>
          </w:p>
        </w:tc>
        <w:tc>
          <w:tcPr>
            <w:tcW w:w="2213" w:type="dxa"/>
            <w:vAlign w:val="center"/>
          </w:tcPr>
          <w:p w14:paraId="7A5F22B6">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ascii="仿宋" w:hAnsi="仿宋" w:eastAsia="仿宋" w:cs="宋体"/>
                <w:spacing w:val="6"/>
                <w:kern w:val="30"/>
                <w:sz w:val="20"/>
                <w:szCs w:val="20"/>
              </w:rPr>
              <w:t>35</w:t>
            </w:r>
          </w:p>
        </w:tc>
        <w:tc>
          <w:tcPr>
            <w:tcW w:w="2213" w:type="dxa"/>
            <w:vAlign w:val="center"/>
          </w:tcPr>
          <w:p w14:paraId="2EC393BC">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31.89</w:t>
            </w:r>
          </w:p>
        </w:tc>
        <w:tc>
          <w:tcPr>
            <w:tcW w:w="2213" w:type="dxa"/>
            <w:vAlign w:val="center"/>
          </w:tcPr>
          <w:p w14:paraId="20075144">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91.10%</w:t>
            </w:r>
          </w:p>
        </w:tc>
      </w:tr>
      <w:tr w14:paraId="1240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 w:hRule="atLeast"/>
        </w:trPr>
        <w:tc>
          <w:tcPr>
            <w:tcW w:w="2214" w:type="dxa"/>
            <w:vAlign w:val="center"/>
          </w:tcPr>
          <w:p w14:paraId="55073507">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效益</w:t>
            </w:r>
          </w:p>
        </w:tc>
        <w:tc>
          <w:tcPr>
            <w:tcW w:w="2213" w:type="dxa"/>
            <w:vAlign w:val="center"/>
          </w:tcPr>
          <w:p w14:paraId="108A29DC">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ascii="仿宋" w:hAnsi="仿宋" w:eastAsia="仿宋" w:cs="宋体"/>
                <w:spacing w:val="6"/>
                <w:kern w:val="30"/>
                <w:sz w:val="20"/>
                <w:szCs w:val="20"/>
              </w:rPr>
              <w:t>30</w:t>
            </w:r>
          </w:p>
        </w:tc>
        <w:tc>
          <w:tcPr>
            <w:tcW w:w="2213" w:type="dxa"/>
            <w:vAlign w:val="center"/>
          </w:tcPr>
          <w:p w14:paraId="1F748802">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26.63</w:t>
            </w:r>
          </w:p>
        </w:tc>
        <w:tc>
          <w:tcPr>
            <w:tcW w:w="2213" w:type="dxa"/>
            <w:vAlign w:val="center"/>
          </w:tcPr>
          <w:p w14:paraId="54927936">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88.78%</w:t>
            </w:r>
          </w:p>
        </w:tc>
      </w:tr>
      <w:tr w14:paraId="1933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2" w:hRule="atLeast"/>
        </w:trPr>
        <w:tc>
          <w:tcPr>
            <w:tcW w:w="2214" w:type="dxa"/>
            <w:vAlign w:val="center"/>
          </w:tcPr>
          <w:p w14:paraId="5EF2A6E2">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b/>
                <w:bCs/>
                <w:spacing w:val="6"/>
                <w:kern w:val="30"/>
                <w:sz w:val="20"/>
                <w:szCs w:val="20"/>
              </w:rPr>
            </w:pPr>
            <w:r>
              <w:rPr>
                <w:rFonts w:ascii="仿宋" w:hAnsi="仿宋" w:eastAsia="仿宋" w:cs="宋体"/>
                <w:b/>
                <w:bCs/>
                <w:spacing w:val="6"/>
                <w:kern w:val="30"/>
                <w:sz w:val="20"/>
                <w:szCs w:val="20"/>
              </w:rPr>
              <w:t>合 计</w:t>
            </w:r>
          </w:p>
        </w:tc>
        <w:tc>
          <w:tcPr>
            <w:tcW w:w="2213" w:type="dxa"/>
            <w:vAlign w:val="center"/>
          </w:tcPr>
          <w:p w14:paraId="1DF902A5">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b/>
                <w:bCs/>
                <w:spacing w:val="6"/>
                <w:kern w:val="30"/>
                <w:sz w:val="20"/>
                <w:szCs w:val="20"/>
              </w:rPr>
            </w:pPr>
            <w:r>
              <w:rPr>
                <w:rFonts w:ascii="仿宋" w:hAnsi="仿宋" w:eastAsia="仿宋" w:cs="宋体"/>
                <w:b/>
                <w:bCs/>
                <w:spacing w:val="6"/>
                <w:kern w:val="30"/>
                <w:sz w:val="20"/>
                <w:szCs w:val="20"/>
              </w:rPr>
              <w:t>100</w:t>
            </w:r>
          </w:p>
        </w:tc>
        <w:tc>
          <w:tcPr>
            <w:tcW w:w="2213" w:type="dxa"/>
            <w:vAlign w:val="center"/>
          </w:tcPr>
          <w:p w14:paraId="74E745E9">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b/>
                <w:bCs/>
                <w:spacing w:val="6"/>
                <w:kern w:val="30"/>
                <w:sz w:val="20"/>
                <w:szCs w:val="20"/>
              </w:rPr>
            </w:pPr>
            <w:r>
              <w:rPr>
                <w:rFonts w:hint="eastAsia" w:ascii="仿宋" w:hAnsi="仿宋" w:eastAsia="仿宋" w:cs="宋体"/>
                <w:b/>
                <w:bCs/>
                <w:spacing w:val="6"/>
                <w:kern w:val="30"/>
                <w:sz w:val="20"/>
                <w:szCs w:val="20"/>
              </w:rPr>
              <w:t>88.97</w:t>
            </w:r>
          </w:p>
        </w:tc>
        <w:tc>
          <w:tcPr>
            <w:tcW w:w="2213" w:type="dxa"/>
            <w:vAlign w:val="center"/>
          </w:tcPr>
          <w:p w14:paraId="6771F0E8">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仿宋" w:hAnsi="仿宋" w:eastAsia="仿宋" w:cs="宋体"/>
                <w:b/>
                <w:bCs/>
                <w:spacing w:val="6"/>
                <w:kern w:val="30"/>
                <w:sz w:val="20"/>
                <w:szCs w:val="20"/>
              </w:rPr>
            </w:pPr>
            <w:r>
              <w:rPr>
                <w:rFonts w:hint="eastAsia" w:ascii="仿宋" w:hAnsi="仿宋" w:eastAsia="仿宋" w:cs="宋体"/>
                <w:b/>
                <w:bCs/>
                <w:spacing w:val="6"/>
                <w:kern w:val="30"/>
                <w:sz w:val="20"/>
                <w:szCs w:val="20"/>
              </w:rPr>
              <w:t>88.97%</w:t>
            </w:r>
          </w:p>
        </w:tc>
      </w:tr>
    </w:tbl>
    <w:p w14:paraId="28EEBA5B">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2023年洱源县医保局严格落实城乡居民医疗保险相关制度，执行大理州统一的缴费标准及待遇调整政策，按规定实行“收支两条线”管理，专账核算，资金拨付审批程序和手续相较完整。2023年洱源县户籍人口数</w:t>
      </w:r>
      <w:r>
        <w:rPr>
          <w:rFonts w:ascii="仿宋" w:hAnsi="仿宋" w:eastAsia="仿宋"/>
          <w:sz w:val="30"/>
          <w:szCs w:val="30"/>
        </w:rPr>
        <w:t>299877</w:t>
      </w:r>
      <w:r>
        <w:rPr>
          <w:rFonts w:hint="eastAsia" w:ascii="仿宋" w:hAnsi="仿宋" w:eastAsia="仿宋"/>
          <w:sz w:val="30"/>
          <w:szCs w:val="30"/>
        </w:rPr>
        <w:t>人，参保人数259,149人，参保率达99.90%，参保人住院费用实际报销比65.34%，实际支付住院医疗费用占住院总费用的比率较以前年度有所降低。政策的落实有效减轻了居民医疗费用负担，提升了居民就医便捷，保障了群众基本医疗需求。但在项目实施过程中，存在参保目标任务未完成，政策宣传公示不到位，绩效目标指标设置不够完整、全面等问题。</w:t>
      </w:r>
    </w:p>
    <w:p w14:paraId="69700BC0">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黑体" w:hAnsi="黑体" w:eastAsia="黑体"/>
          <w:sz w:val="30"/>
          <w:szCs w:val="30"/>
        </w:rPr>
      </w:pPr>
      <w:r>
        <w:rPr>
          <w:rFonts w:ascii="黑体" w:hAnsi="黑体" w:eastAsia="黑体"/>
          <w:sz w:val="30"/>
          <w:szCs w:val="30"/>
        </w:rPr>
        <w:t>三、存在的</w:t>
      </w:r>
      <w:r>
        <w:rPr>
          <w:rFonts w:ascii="黑体" w:hAnsi="黑体" w:eastAsia="黑体" w:cs="楷体"/>
          <w:kern w:val="30"/>
          <w:sz w:val="30"/>
          <w:szCs w:val="30"/>
        </w:rPr>
        <w:t>主要问题</w:t>
      </w:r>
    </w:p>
    <w:p w14:paraId="0A7FA4A9">
      <w:pPr>
        <w:keepNext w:val="0"/>
        <w:keepLines w:val="0"/>
        <w:pageBreakBefore w:val="0"/>
        <w:kinsoku/>
        <w:wordWrap/>
        <w:overflowPunct/>
        <w:topLinePunct w:val="0"/>
        <w:autoSpaceDE/>
        <w:autoSpaceDN/>
        <w:bidi w:val="0"/>
        <w:adjustRightInd/>
        <w:spacing w:line="600" w:lineRule="exact"/>
        <w:ind w:firstLine="600" w:firstLineChars="200"/>
        <w:textAlignment w:val="auto"/>
        <w:outlineLvl w:val="1"/>
        <w:rPr>
          <w:rFonts w:hint="eastAsia" w:ascii="楷体" w:hAnsi="楷体" w:eastAsia="楷体" w:cs="楷体_GB2312"/>
          <w:kern w:val="30"/>
          <w:sz w:val="30"/>
          <w:szCs w:val="30"/>
        </w:rPr>
      </w:pPr>
      <w:r>
        <w:rPr>
          <w:rFonts w:hint="eastAsia" w:ascii="楷体" w:hAnsi="楷体" w:eastAsia="楷体" w:cs="楷体_GB2312"/>
          <w:kern w:val="30"/>
          <w:sz w:val="30"/>
          <w:szCs w:val="30"/>
        </w:rPr>
        <w:t>（一）参保目标任务未完成，工作推进力度待强化</w:t>
      </w:r>
    </w:p>
    <w:p w14:paraId="5DDCAE0D">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2023年洱源县城乡居民医疗保险参保目标259400人未能达成，实际参保人数为259149人，且2023年续保率为96.76%，较2022年有所下降。洱源县二级医院门诊报销比例为24.02%，未达25%的政策目标要求。</w:t>
      </w:r>
    </w:p>
    <w:p w14:paraId="760E0D93">
      <w:pPr>
        <w:keepNext w:val="0"/>
        <w:keepLines w:val="0"/>
        <w:pageBreakBefore w:val="0"/>
        <w:kinsoku/>
        <w:wordWrap/>
        <w:overflowPunct/>
        <w:topLinePunct w:val="0"/>
        <w:autoSpaceDE/>
        <w:autoSpaceDN/>
        <w:bidi w:val="0"/>
        <w:adjustRightInd/>
        <w:spacing w:line="600" w:lineRule="exact"/>
        <w:ind w:firstLine="600" w:firstLineChars="200"/>
        <w:textAlignment w:val="auto"/>
        <w:outlineLvl w:val="1"/>
        <w:rPr>
          <w:rFonts w:hint="eastAsia" w:ascii="楷体" w:hAnsi="楷体" w:eastAsia="楷体" w:cs="楷体_GB2312"/>
          <w:kern w:val="30"/>
          <w:sz w:val="30"/>
          <w:szCs w:val="30"/>
        </w:rPr>
      </w:pPr>
      <w:r>
        <w:rPr>
          <w:rFonts w:hint="eastAsia" w:ascii="楷体" w:hAnsi="楷体" w:eastAsia="楷体" w:cs="楷体_GB2312"/>
          <w:kern w:val="30"/>
          <w:sz w:val="30"/>
          <w:szCs w:val="30"/>
        </w:rPr>
        <w:t>（二）政策宣传落实不到位，信息公示有待加强</w:t>
      </w:r>
    </w:p>
    <w:p w14:paraId="142BACFA">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sz w:val="30"/>
          <w:szCs w:val="30"/>
        </w:rPr>
        <w:t>根据问卷调查数据，部分定点医疗、医药机构对医保经办机构组织的医保政策、管理制度及支付政策等宣传培训活动的满意度仅为66.41%，总体满意程度不高。</w:t>
      </w:r>
      <w:r>
        <w:rPr>
          <w:rFonts w:hint="eastAsia" w:ascii="仿宋" w:hAnsi="仿宋" w:eastAsia="仿宋" w:cs="仿宋"/>
          <w:sz w:val="30"/>
          <w:szCs w:val="30"/>
        </w:rPr>
        <w:t>实地抽样发现，部分乡（镇）卫生院仍存在政策宣传公示不到位的问题，政策宣传及公示工作仍有待加强。</w:t>
      </w:r>
    </w:p>
    <w:p w14:paraId="6A97ADF0">
      <w:pPr>
        <w:keepNext w:val="0"/>
        <w:keepLines w:val="0"/>
        <w:pageBreakBefore w:val="0"/>
        <w:kinsoku/>
        <w:wordWrap/>
        <w:overflowPunct/>
        <w:topLinePunct w:val="0"/>
        <w:autoSpaceDE/>
        <w:autoSpaceDN/>
        <w:bidi w:val="0"/>
        <w:adjustRightInd/>
        <w:spacing w:line="600" w:lineRule="exact"/>
        <w:ind w:firstLine="600" w:firstLineChars="200"/>
        <w:textAlignment w:val="auto"/>
        <w:outlineLvl w:val="1"/>
        <w:rPr>
          <w:rFonts w:hint="eastAsia" w:ascii="楷体" w:hAnsi="楷体" w:eastAsia="楷体" w:cs="楷体_GB2312"/>
          <w:kern w:val="30"/>
          <w:sz w:val="30"/>
          <w:szCs w:val="30"/>
        </w:rPr>
      </w:pPr>
      <w:r>
        <w:rPr>
          <w:rFonts w:hint="eastAsia" w:ascii="楷体" w:hAnsi="楷体" w:eastAsia="楷体" w:cs="楷体_GB2312"/>
          <w:kern w:val="30"/>
          <w:sz w:val="30"/>
          <w:szCs w:val="30"/>
        </w:rPr>
        <w:t>（三）医药机构收费不合理，基金监管有待提升</w:t>
      </w:r>
    </w:p>
    <w:p w14:paraId="57F8B617">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sz w:val="30"/>
          <w:szCs w:val="30"/>
        </w:rPr>
        <w:t>根据洱源县医疗保障局提供的关于对县域内定点医药机构2023年度考核结果的通报，部分医疗机构对医保政策不够熟悉，导致年度内</w:t>
      </w:r>
      <w:r>
        <w:rPr>
          <w:rFonts w:hint="eastAsia" w:ascii="仿宋" w:hAnsi="仿宋" w:eastAsia="仿宋" w:cs="仿宋"/>
          <w:sz w:val="30"/>
          <w:szCs w:val="30"/>
        </w:rPr>
        <w:t>仍存在超范围用药、超量开药、套高收费、不合理收费、过度检查及治疗等问题。</w:t>
      </w:r>
    </w:p>
    <w:p w14:paraId="7B6E6B64">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楷体" w:hAnsi="楷体" w:eastAsia="楷体" w:cs="楷体"/>
          <w:kern w:val="30"/>
          <w:sz w:val="30"/>
          <w:szCs w:val="30"/>
        </w:rPr>
      </w:pPr>
      <w:r>
        <w:rPr>
          <w:rFonts w:hint="eastAsia" w:ascii="楷体" w:hAnsi="楷体" w:eastAsia="楷体" w:cs="楷体"/>
          <w:kern w:val="30"/>
          <w:sz w:val="30"/>
          <w:szCs w:val="30"/>
        </w:rPr>
        <w:t>（四）绩效管理落实有差距，自评工作开展有所不足</w:t>
      </w:r>
    </w:p>
    <w:p w14:paraId="561ACFC4">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1.绩效目标及指标设置不够完整、全面</w:t>
      </w:r>
    </w:p>
    <w:p w14:paraId="5DA17688">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一是绩效目标编制不够完整。二是绩效指标未全面体现政策效益。项目效益指标仅设置了政策知晓率，对医保政策落实产生的社会效益、可持续影响等未能有效体现，指标设置不够完整、全面。</w:t>
      </w:r>
    </w:p>
    <w:p w14:paraId="164D2191">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2.绩效自评工作未有效落实</w:t>
      </w:r>
    </w:p>
    <w:p w14:paraId="280D6935">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洱源县医疗保障局虽然已按照绩效管理要求组织开展了项目绩效自评工作，并形成绩效自评表及报告，但绩效自评表的评价指标仅设置项目决策、过程管理、产出指标、满意度指标，未设置效益指标，未能对项目的效益进行评价，自评指标设置不够完整，且满意度评价未见相关佐证材料。</w:t>
      </w:r>
    </w:p>
    <w:p w14:paraId="2589CC34">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黑体" w:hAnsi="黑体" w:eastAsia="黑体"/>
          <w:sz w:val="30"/>
          <w:szCs w:val="30"/>
        </w:rPr>
      </w:pPr>
      <w:r>
        <w:rPr>
          <w:rFonts w:ascii="黑体" w:hAnsi="黑体" w:eastAsia="黑体"/>
          <w:sz w:val="30"/>
          <w:szCs w:val="30"/>
        </w:rPr>
        <w:t>四、建议</w:t>
      </w:r>
    </w:p>
    <w:p w14:paraId="326BB857">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楷体" w:hAnsi="楷体" w:eastAsia="楷体" w:cs="楷体"/>
          <w:kern w:val="30"/>
          <w:sz w:val="30"/>
          <w:szCs w:val="30"/>
        </w:rPr>
      </w:pPr>
      <w:r>
        <w:rPr>
          <w:rFonts w:hint="eastAsia" w:ascii="楷体" w:hAnsi="楷体" w:eastAsia="楷体" w:cs="楷体"/>
          <w:kern w:val="30"/>
          <w:sz w:val="30"/>
          <w:szCs w:val="30"/>
        </w:rPr>
        <w:t>（一）围绕政策任务目标，扎实推进工作开展</w:t>
      </w:r>
    </w:p>
    <w:p w14:paraId="698BA616">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围绕城乡居民医疗保险政策，充分认识当前做好城乡居民医疗保险工作的重要性、必要性，压实任务目标责任，合理制定工作计划，确保参（续）保工作扎实有序推进。同时，从实际出发，以城乡居民医保住院待遇提升等政策为重点，因地制宜开展医保政策宣传，做好参保缴费动员，实现应保尽保任务目标。</w:t>
      </w:r>
    </w:p>
    <w:p w14:paraId="2D6F9AF2">
      <w:pPr>
        <w:keepNext w:val="0"/>
        <w:keepLines w:val="0"/>
        <w:pageBreakBefore w:val="0"/>
        <w:kinsoku/>
        <w:wordWrap/>
        <w:overflowPunct/>
        <w:topLinePunct w:val="0"/>
        <w:autoSpaceDE/>
        <w:autoSpaceDN/>
        <w:bidi w:val="0"/>
        <w:adjustRightInd/>
        <w:spacing w:line="600" w:lineRule="exact"/>
        <w:ind w:firstLine="600" w:firstLineChars="200"/>
        <w:textAlignment w:val="auto"/>
        <w:outlineLvl w:val="1"/>
        <w:rPr>
          <w:rFonts w:hint="eastAsia" w:ascii="楷体" w:hAnsi="楷体" w:eastAsia="楷体"/>
          <w:sz w:val="30"/>
          <w:szCs w:val="30"/>
        </w:rPr>
      </w:pPr>
      <w:r>
        <w:rPr>
          <w:rFonts w:hint="eastAsia" w:ascii="楷体" w:hAnsi="楷体" w:eastAsia="楷体"/>
          <w:sz w:val="30"/>
          <w:szCs w:val="30"/>
        </w:rPr>
        <w:t>（二）加强医保政策培训宣传，提升</w:t>
      </w:r>
      <w:r>
        <w:rPr>
          <w:rFonts w:ascii="楷体" w:hAnsi="楷体" w:eastAsia="楷体"/>
          <w:sz w:val="30"/>
          <w:szCs w:val="30"/>
        </w:rPr>
        <w:t>群众对医保政策知晓</w:t>
      </w:r>
      <w:r>
        <w:rPr>
          <w:rFonts w:hint="eastAsia" w:ascii="楷体" w:hAnsi="楷体" w:eastAsia="楷体"/>
          <w:sz w:val="30"/>
          <w:szCs w:val="30"/>
        </w:rPr>
        <w:t>度</w:t>
      </w:r>
    </w:p>
    <w:p w14:paraId="2D98008B">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加强对定点医药机构政策宣传公示情况的监督，设置专门政策宣传栏，制作海报等多项式的对医保政策进行公示，宣传内容需及时更新。同时可以通过利用会议、医保知识培训班、板报等形式对医院的医务工作人员开展培训，</w:t>
      </w:r>
      <w:r>
        <w:rPr>
          <w:rFonts w:hint="eastAsia" w:ascii="仿宋" w:hAnsi="仿宋" w:eastAsia="仿宋"/>
          <w:sz w:val="30"/>
          <w:szCs w:val="30"/>
        </w:rPr>
        <w:t>强化医务人员对医保政策的掌握和落实，有效保障患者基本医疗保险权益，同时</w:t>
      </w:r>
      <w:r>
        <w:rPr>
          <w:rFonts w:hint="eastAsia" w:ascii="仿宋" w:hAnsi="仿宋" w:eastAsia="仿宋" w:cs="仿宋"/>
          <w:sz w:val="30"/>
          <w:szCs w:val="30"/>
        </w:rPr>
        <w:t>帮助参保人员了解医保就诊流程、医保病人住院须知等医保政策。</w:t>
      </w:r>
    </w:p>
    <w:p w14:paraId="3B59AB0A">
      <w:pPr>
        <w:keepNext w:val="0"/>
        <w:keepLines w:val="0"/>
        <w:pageBreakBefore w:val="0"/>
        <w:kinsoku/>
        <w:wordWrap/>
        <w:overflowPunct/>
        <w:topLinePunct w:val="0"/>
        <w:autoSpaceDE/>
        <w:autoSpaceDN/>
        <w:bidi w:val="0"/>
        <w:adjustRightInd/>
        <w:spacing w:line="600" w:lineRule="exact"/>
        <w:ind w:firstLine="600" w:firstLineChars="200"/>
        <w:textAlignment w:val="auto"/>
        <w:outlineLvl w:val="1"/>
        <w:rPr>
          <w:rFonts w:hint="eastAsia" w:ascii="楷体" w:hAnsi="楷体" w:eastAsia="楷体"/>
          <w:sz w:val="30"/>
          <w:szCs w:val="30"/>
        </w:rPr>
      </w:pPr>
      <w:r>
        <w:rPr>
          <w:rFonts w:hint="eastAsia" w:ascii="楷体" w:hAnsi="楷体" w:eastAsia="楷体"/>
          <w:sz w:val="30"/>
          <w:szCs w:val="30"/>
        </w:rPr>
        <w:t>（三）强化基金监督管理，规范定点医药机构收费</w:t>
      </w:r>
    </w:p>
    <w:p w14:paraId="7A03709A">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一是加强医保监管队伍建设。围绕医保政策相关法律法规、管理办法等，组织开展监管业务能力提升培训、交流，不断提升监管队伍整体专业素养和业务能力，构筑专业防线为人民群众提供更加安全、高效、便捷的医疗保障服务。</w:t>
      </w:r>
    </w:p>
    <w:p w14:paraId="7103B935">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sz w:val="30"/>
          <w:szCs w:val="30"/>
          <w:highlight w:val="yellow"/>
        </w:rPr>
      </w:pPr>
      <w:r>
        <w:rPr>
          <w:rFonts w:hint="eastAsia" w:ascii="仿宋" w:hAnsi="仿宋" w:eastAsia="仿宋"/>
          <w:sz w:val="30"/>
          <w:szCs w:val="30"/>
        </w:rPr>
        <w:t>二是强化日常监督管理。通过每月日常费用审核、病历抽取、现场检查、夜间查房等多种方式开展稽核检查，查出的问题严格执行按月反馈、按季通报、第三方中介机构审核等制度，从源头上加强基金监管力度，确保医保基金安全。</w:t>
      </w:r>
    </w:p>
    <w:p w14:paraId="36E50A6F">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楷体" w:hAnsi="楷体" w:eastAsia="楷体" w:cs="楷体"/>
          <w:kern w:val="30"/>
          <w:sz w:val="30"/>
          <w:szCs w:val="30"/>
        </w:rPr>
      </w:pPr>
      <w:r>
        <w:rPr>
          <w:rFonts w:hint="eastAsia" w:ascii="楷体" w:hAnsi="楷体" w:eastAsia="楷体" w:cs="楷体"/>
          <w:kern w:val="30"/>
          <w:sz w:val="30"/>
          <w:szCs w:val="30"/>
        </w:rPr>
        <w:t>（四）规范绩效目标指标编制，提升绩效自评质量</w:t>
      </w:r>
    </w:p>
    <w:p w14:paraId="0BCE189F">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一是紧扣大理州“十四五”全民医疗保障规划及目标要求，结合项目实施内容，充分梳理项目预期达到的主要产出和效果，完善绩效目标及绩效指标编制，确保绩效目标及绩效指标完整、规范，同时体现核心产出效益。</w:t>
      </w:r>
    </w:p>
    <w:p w14:paraId="514EAEAE">
      <w:pPr>
        <w:keepNext w:val="0"/>
        <w:keepLines w:val="0"/>
        <w:pageBreakBefore w:val="0"/>
        <w:kinsoku/>
        <w:wordWrap/>
        <w:overflowPunct/>
        <w:topLinePunct w:val="0"/>
        <w:autoSpaceDE/>
        <w:autoSpaceDN/>
        <w:bidi w:val="0"/>
        <w:adjustRightInd/>
        <w:spacing w:line="600" w:lineRule="exact"/>
        <w:ind w:firstLine="600" w:firstLineChars="200"/>
        <w:textAlignment w:val="auto"/>
      </w:pPr>
      <w:r>
        <w:rPr>
          <w:rFonts w:hint="eastAsia" w:ascii="仿宋" w:hAnsi="仿宋" w:eastAsia="仿宋" w:cs="仿宋"/>
          <w:color w:val="000000" w:themeColor="text1"/>
          <w:kern w:val="0"/>
          <w:sz w:val="30"/>
          <w:szCs w:val="30"/>
          <w14:textFill>
            <w14:solidFill>
              <w14:schemeClr w14:val="tx1"/>
            </w14:solidFill>
          </w14:textFill>
        </w:rPr>
        <w:t>二是落实绩效管理制度，提升绩效自评质量。项目实施部门应规范绩效自评方法，进一步加强完善绩效自评工作。同时，在自评中，收集、整理与绩效自评指标体系评分相匹配的过程性记录和评价数据、证明材料等，使绩效自评过程和结果可追溯。</w:t>
      </w:r>
      <w:bookmarkEnd w:id="0"/>
    </w:p>
    <w:bookmarkEnd w:id="2"/>
    <w:sectPr>
      <w:footerReference r:id="rId3" w:type="default"/>
      <w:footerReference r:id="rId4" w:type="even"/>
      <w:pgSz w:w="11906" w:h="16838"/>
      <w:pgMar w:top="1417" w:right="1440" w:bottom="141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2738E">
    <w:pPr>
      <w:pStyle w:val="2"/>
      <w:rPr>
        <w:rFonts w:hint="eastAsia"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E6901A">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6E6901A">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AA1F1">
    <w:pPr>
      <w:pStyle w:val="2"/>
      <w:jc w:val="center"/>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hint="eastAsia" w:ascii="宋体" w:hAnsi="宋体"/>
        <w:sz w:val="28"/>
        <w:szCs w:val="28"/>
      </w:rPr>
      <w:t>5</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9A"/>
    <w:rsid w:val="00284C00"/>
    <w:rsid w:val="00284ECC"/>
    <w:rsid w:val="004255D9"/>
    <w:rsid w:val="0045794B"/>
    <w:rsid w:val="004A308A"/>
    <w:rsid w:val="004C0AEC"/>
    <w:rsid w:val="005551E6"/>
    <w:rsid w:val="005F3534"/>
    <w:rsid w:val="00664BBC"/>
    <w:rsid w:val="00792347"/>
    <w:rsid w:val="008472A2"/>
    <w:rsid w:val="008F009A"/>
    <w:rsid w:val="00932E75"/>
    <w:rsid w:val="009C7E74"/>
    <w:rsid w:val="00B037D9"/>
    <w:rsid w:val="00B8712A"/>
    <w:rsid w:val="00C0527F"/>
    <w:rsid w:val="00C065B9"/>
    <w:rsid w:val="00F024EB"/>
    <w:rsid w:val="287E1F78"/>
    <w:rsid w:val="28B55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476</Words>
  <Characters>2718</Characters>
  <Lines>22</Lines>
  <Paragraphs>6</Paragraphs>
  <TotalTime>7</TotalTime>
  <ScaleCrop>false</ScaleCrop>
  <LinksUpToDate>false</LinksUpToDate>
  <CharactersWithSpaces>3188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2024-11-29T01:32:00Z</dcterms:created>
  <dc:creator>Jiankun Yang</dc:creator>
  <cp:lastModifiedBy>县财政局收发员</cp:lastModifiedBy>
  <cp:lastPrinted>2024-11-29T02:08:00Z</cp:lastPrinted>
  <dcterms:modified xsi:type="dcterms:W3CDTF">2024-12-13T07:17:34Z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695DB659763247EF94AE0F7AD43BC5A6_12</vt:lpwstr>
  </property>
</Properties>
</file>