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firstLine="32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采购清单及技术参数要求一览表</w:t>
      </w:r>
    </w:p>
    <w:p>
      <w:pPr>
        <w:widowControl/>
        <w:jc w:val="left"/>
        <w:textAlignment w:val="center"/>
        <w:rPr>
          <w:rFonts w:hint="eastAsia" w:ascii="仿宋" w:hAnsi="仿宋" w:eastAsia="仿宋" w:cs="仿宋"/>
          <w:b/>
          <w:bCs/>
          <w:color w:val="000000"/>
          <w:sz w:val="32"/>
          <w:szCs w:val="32"/>
        </w:rPr>
      </w:pPr>
    </w:p>
    <w:p>
      <w:pPr>
        <w:pStyle w:val="3"/>
        <w:numPr>
          <w:ilvl w:val="0"/>
          <w:numId w:val="0"/>
        </w:numPr>
        <w:tabs>
          <w:tab w:val="clear" w:pos="360"/>
        </w:tabs>
        <w:jc w:val="center"/>
        <w:rPr>
          <w:rFonts w:hint="eastAsia" w:ascii="仿宋" w:hAnsi="仿宋" w:eastAsia="仿宋" w:cs="仿宋"/>
          <w:color w:val="000000"/>
          <w:sz w:val="36"/>
          <w:szCs w:val="36"/>
        </w:rPr>
      </w:pPr>
      <w:bookmarkStart w:id="0" w:name="_Toc29307"/>
      <w:r>
        <w:rPr>
          <w:rFonts w:hint="eastAsia" w:ascii="仿宋" w:hAnsi="仿宋" w:eastAsia="仿宋" w:cs="仿宋"/>
          <w:color w:val="000000"/>
          <w:sz w:val="36"/>
          <w:szCs w:val="36"/>
        </w:rPr>
        <w:t>洱源县茈碧湖镇乡村治理示范村项目建设明细清单</w:t>
      </w:r>
      <w:bookmarkEnd w:id="0"/>
    </w:p>
    <w:p>
      <w:pPr>
        <w:numPr>
          <w:ilvl w:val="0"/>
          <w:numId w:val="2"/>
        </w:numPr>
        <w:snapToGrid w:val="0"/>
        <w:spacing w:line="540" w:lineRule="exact"/>
        <w:rPr>
          <w:rFonts w:hint="eastAsia" w:ascii="仿宋" w:hAnsi="仿宋" w:eastAsia="仿宋" w:cs="仿宋"/>
          <w:color w:val="000000"/>
          <w:sz w:val="28"/>
          <w:szCs w:val="21"/>
        </w:rPr>
      </w:pPr>
      <w:r>
        <w:rPr>
          <w:rFonts w:hint="eastAsia" w:ascii="仿宋" w:hAnsi="仿宋" w:eastAsia="仿宋" w:cs="仿宋"/>
          <w:color w:val="000000"/>
          <w:sz w:val="28"/>
          <w:szCs w:val="21"/>
        </w:rPr>
        <w:t>洱源县茈碧湖镇乡村治理示范村项目前端硬件部分（提供1年的质保服务、3年的维保服务）</w:t>
      </w:r>
    </w:p>
    <w:tbl>
      <w:tblPr>
        <w:tblStyle w:val="10"/>
        <w:tblW w:w="5000" w:type="pct"/>
        <w:tblInd w:w="0" w:type="dxa"/>
        <w:tblLayout w:type="autofit"/>
        <w:tblCellMar>
          <w:top w:w="0" w:type="dxa"/>
          <w:left w:w="108" w:type="dxa"/>
          <w:bottom w:w="0" w:type="dxa"/>
          <w:right w:w="108" w:type="dxa"/>
        </w:tblCellMar>
      </w:tblPr>
      <w:tblGrid>
        <w:gridCol w:w="515"/>
        <w:gridCol w:w="1113"/>
        <w:gridCol w:w="2496"/>
        <w:gridCol w:w="8252"/>
        <w:gridCol w:w="515"/>
        <w:gridCol w:w="515"/>
        <w:gridCol w:w="814"/>
      </w:tblGrid>
      <w:tr>
        <w:tblPrEx>
          <w:tblCellMar>
            <w:top w:w="0" w:type="dxa"/>
            <w:left w:w="108" w:type="dxa"/>
            <w:bottom w:w="0" w:type="dxa"/>
            <w:right w:w="108" w:type="dxa"/>
          </w:tblCellMar>
        </w:tblPrEx>
        <w:trPr>
          <w:trHeight w:val="501" w:hRule="atLeast"/>
        </w:trPr>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序号</w:t>
            </w:r>
          </w:p>
        </w:tc>
        <w:tc>
          <w:tcPr>
            <w:tcW w:w="39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应用名称</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建设内容</w:t>
            </w:r>
          </w:p>
        </w:tc>
        <w:tc>
          <w:tcPr>
            <w:tcW w:w="29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产品参数</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数量</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单位</w:t>
            </w:r>
          </w:p>
        </w:tc>
        <w:tc>
          <w:tcPr>
            <w:tcW w:w="2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项目地点</w:t>
            </w: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安防监控</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1、≥400万像素。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★2、远程与现场对讲交流，内置麦克风，内置喇叭，可外置音柱扩音。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★3、提供≥30天远程存储。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4、要求POE供电，防水防尘。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5、SD卡存储：支持8G-256G。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6、工作温度：-20℃-60℃。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7、多种夜视模式：红外夜视、全彩夜视、人形侦测。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8、IP66防水防尘。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★9、终端设备必须通过中国强制性产品CCC认证，并提供相关证明文件。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梨园村</w:t>
            </w: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风貌展示</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摄像头（枪机）</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1、像素≥400万 CMOS传感器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 、最大分辨率≥3456x1080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3、最低照度彩色：0.002 lx，黑白:0.0002 lx</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4、夜间红外补光时可识别≥20米处</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★5、摄像机水平视场角≥180°，垂直视场角≥52°</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★6、在3456x1080@25fps下，清晰度≥1100TVL</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7、支持同时输出主码流和子码流，主码流最高≥3456x1080@25fps，子码流最大≥1728x536 @25fps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9、信噪比≥62dB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10、相机照度适应范围≥140dB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11、内置麦克风≥1个，扬声器≥1个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12、相机可听清距离10m以上距离，声级≥70dB的声音；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13、支持H、264、H、265、MJPEG视频编码格式，且具有High Profile编码能力</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14、需具有≥20路取流能力，以满足更多用户同时在线访问摄像机视频</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15、防护等级：IP66及以上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16、同一静止场景相同图像质量下，设备在H、264、H、265编码方式时，开启智能编码功能和不开启智能编码相比，码率节约≥80%；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摄像头（球机）</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1、主码流视频分辨率与帧率≥3840×1080@25fps，子码流视频分辨率与帧率≥1920×540@25fps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2、内置麦克风、扬声器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3、最低照度彩色0.0005lx</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4、白光灯开启时，可识别距离设备≥30米处的人体轮廓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5、在彩色模式下，当照度降低至一定值时，可自动开启白光灯进行补光，在白天、夜晚均可输出彩色视频图像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★6、水平视场角不≥180°，垂直视场角≥47°</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★8、支持区域入侵、越界入侵、进入区域、离开区域智能行为分析功能，当智能分析行为达到设定的阈值时，可通过客户端软件或浏览器给出报警提示，报警检测目标可设置为人体、车辆、人体和车辆3种</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★9、具备智能报警防干扰功能，当在设定的检测区域内出现光线明暗变化、篮球滚动、狗行走、树摇晃时，不触发报警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★10、具备目标过滤功能，可对目标大小范围进行设置，设备只对预设大小范围内的人员及机动车辆进行检测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 同一场景相同图像质量下设备在H、264或H、265编码方式时，开启智能编码功能和不开启智能编码相比，码率节约≥80％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12、从麦克风接收声音并显示状态至扬声器产生音频输出并显示状态的时间应≤200ms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13、具有≥1个RJ45网络接口，≥1个报警输入接口，≥1个报警输出接口，≥1个音频输入接口，≥1个音频输出接口，≥1个DC12V电源输出接口，支持POE供电</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 防护等级：IP67及以上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客流统计</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1、像素≥400万 CMOS传感器，具有≥1/1.8"靶面尺寸，内置GPU芯片。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2、自带白光补光灯，补光距离≥60米。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3、白光补光灯支持远程开启和关闭，并可分别调节远光灯和近光灯的亮度。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4、设备水平中心分辨力≥1500TVL。</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5、支持H.264、H.265、MJPEG视频编码格式，且具有High Profile编码能力。</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6、支持四码流技术，主码流分辨率≥2560x1440@25fps，子码流≥704x576@25fps，第三码流≥1920x1080@25fps，第四码流≥704x576@25fps。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7、支持亮度异常、清晰度异常、花屏、雪花、偏色、画面冻结、增益失衡、画面抖动、条纹干扰、信号丢失、视频遮挡、光晕、紫边等故障报警功能。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8、同一静止场景相同图像质量下，设备在H.265编码方式时，开启智能编码功能和不开启智能编码相比，码率节约≥80%。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★9、具有倾斜客流统计和人员密度检测两种设置选项。</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★10、支持倾斜客流统计，最多可设置≥3个允许交叉的多边形客流统计区域，每个区域均可设置统计方式为：进入、离开、进入和离开，可在预览画面实时叠加统计结果。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★11、人员数量统计最多可设置≥8个人数统计区域，支持设置每个区域的人员密度报警阈值和统计周期，当人员数量达到设定级别时，可触发报警。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★12、支持区域人数检测报警功能，可设置报警阈值人数，当检测区域内的人员数量＞阈值、＜阈值、＝阈值或≠阈值时，可触发报警功能。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13、防护等级：IP67及以上。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智能广播</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户外微波感应语音提示器</w:t>
            </w:r>
          </w:p>
        </w:tc>
        <w:tc>
          <w:tcPr>
            <w:tcW w:w="2901" w:type="pct"/>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★1、太阳能供电</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2、内置≥20W喇叭，声音洪亮。</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3、操作简单方便，支持过微信小程序调节音量，设置定时，更换语音内容等功能。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4、低功耗，支持太阳能供电，不影响阴雨天工作。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5、最多支持8段语音，可设置不同时间段播放不同语音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6、音频输出功率 ≥12W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7、感应范围 红外≥5米 微波≥10米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8、报警声音 ≥120dB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9、蓝牙连接有效距离 ≥8米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10、环境温度 -10度~70度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11、太阳能板规格 15W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12、工作电流 待机电流 ≤25mA，放音状态 ≤500mA</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收扩机</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1、采用可寻址全数字解码，接收上级远程控制，根据不同使用环境实现多级分区，支持全区播放、分区播放、单点播放。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2、支持2G、3G、4G/IP全模式接收解码。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3、支持多任务接收，终端可根据任务优先级选择高优先级的优先播放。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4、支持设备断电广播自动恢复功能。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5、支持工作状态指示，产品带LED指示灯，可指示不同状态。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6、支持通过APP及WEB客户端配置、查询终端参数。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7、支持通过WEB客户端远程升级。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8、支持远程重启。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9、支持远程调取日志功能。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10、支持功放过热、过压、过流保护功能。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★11、支持地理位置信息，可在APP/平台上显示终端位置，并可通过APP 直接导航到终端安装位置。（提供省级及以上国家职能部门下属检测机构出具符合国标（GD/J079-2018 至 GD/J089-2018）检测报告（检验结果为符合要求））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12、支持自动设备状态回传功能。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1、输出功率：≥50W。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2、频率响应：100Hz～16kHz。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3、信噪比：≥80dB。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4、失真度：≤1%(@1W)。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5、音频采样率：8kHz～96kHz。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6、音频位率：8kbps～320kbps自适应。</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7、音频格式： AAC、MP3。</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8、支持协议：UDP、TCP、ARP、RTMP。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9、电源电压：AC 100～280V/50Hz。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10、工作温度：-30～70℃。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11、工作湿度：10%～90%。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★12、具有GB/T 26572-2011电子电气产品中限用物质的限量要求的检测报告（提供相应的检测报告扫描件）。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★13、具有工业和信息化部无线电管理会出具的无线电发射设备型号核准证（提供相应的证书扫描件）。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★14、具有工业和信息化部出具的电信设备进网许可证（提供相应的证书扫描件）。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音柱</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1、采用可寻址全数字解码，接收上级远程控制，根据不同使用环境实现多级分区，支持全区播放、分区播放、单点播放。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2、支持2G、3G、4G/IP全模式接收解码。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3、支持多任务接收，终端可根据任务优先级选择高优先级的优先播放。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4、支持设备断电广播自动恢复功能。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5、支持工作状态指示，产品带LED指示灯，可指示不同状态。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6、支持通过APP及WEB客户端配置、查询终端参数。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7、支持通过WEB客户端远程升级。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8、支持远程重启。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9、支持远程调取日志功能。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10、支持功放过热、过压、过流保护功能。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★11、支持地理位置信息，可在APP/平台上显示终端位置，并可通过APP 直接导航到终端安装位置。（提供省级及以上国家职能部门下属检测机构出具符合国标（GD/J079-2018 至 GD/J089-2018）检测报告（检验结果为符合要求））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12、支持自动设备状态回传功能。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1、输出功率：≥30W。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2、频率响应：100Hz～16kHz。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3、信噪比：≥80dB。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4、失真度：≤1%(@1W)。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5、音频采样率：8kHz～96kHz。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6、音频位率：8kbps～320kbps自适应。</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7、音频格式： AAC、MP3。</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8、支持协议：UDP、TCP、ARP、RTMP。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9、工作温度：-30～70℃。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10、工作湿度：10%～90%。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★11、具有GB/T 26572-2011电子电气产品中限用物质的限量要求的检测报告（提供相应的检测报告扫描件）。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★12、具有工业和信息化部无线电管理会出具的无线电发射设备型号核准证（提供相应的证书扫描件）。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★13、具有工业和信息化部出具的电信设备进网许可证（提供相应的证书扫描件）。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IP话筒</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1、实现对特定广播终端或区域的寻呼广播。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 “一键”呼叫广播，可通过触屏滑动“话筒”或“外接音源”按钮，开启或关闭对应的音源通道。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3、支持实时采播广播。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4、支持一路RCA接口本地线路音频输出，可外接功放扩音广播。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5、支持静态IP或DHCP两种方式，支持自动获取DNS，可跨网段、跨路由工作。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6、支持通过WEB网管及APP在线升级。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★7、面板具有≥7寸触摸大屏显示,可显示在线状态及各主要操作参数，方便操作和查看。（提供省级及以上国家职能部门下属检测机构出具符合国标（GD/J079-2018 至 GD/J089-2018）检测报告（检验结果为符合要求））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8、含手机APP。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1、频率响应：100Hz～16kHz（±3dB）。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2、信噪比：≥80dB。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3、总谐波失真（THD@1W）：≤1%。</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4、采样率：44.1kHz～96kHz。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5、音频位率：32kbps～320kbps自适应。</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6、网络延时：≤60ms。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7、音频格式：MP3/AAC。</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8、支持协议：ARP、UDP、TCP、RTMP。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手机APP技术参数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★1、支持广播喊话、文件点播、录音广播、定时广播、分区广播、频道管理、设备安装、设备查看、设备参数配置、设备巡检与出库等功能。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2、支持广播播控、组织调整、设备管理、资源管理、系统管理等操作。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3、支持日志查看，录音回听，实时监听与监控等安全手段。</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码头信息发布系统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信息发布系统及相关配件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★1、屏体尺寸≥4.61㎡，像素间距≤3.076mm，像素点密度≥105625Dots/㎡，灯管封装SMD1515。                                                                                                                         ★2、模组分辨率≥5408Dots。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3、驱动方式：恒流驱动，驱动芯片具有消隐功能、倍频刷新率提升2/4/8倍、低灰偏色改善。                                                                                                           4、套件材质：采用聚碳酸酯和玻璃纤维。                                                                                                                                                             5、低亮高灰特性：100%亮度时，≥16bits灰度；20%亮度时，≥12bits灰度。                                                                                      ★6、亮度≥6000cd/㎡，亮度均匀性≥98%，亮度等级≥30级。                                                                                                                                             7、色温：1000—18000K可调，可支持100%、75%、50%、25%四档电平白场调节色温误差≤200K。                                                                                                             ★8、色度均匀性±0.002Cx、Cy，色域≥120%NTSC。                                                                                                                                                   ★9、对比度≥9000:1反光率≤1%,平整度：≤0.2mm，刷新率:3840Hz                                                                                                                                                 ★10、峰值功耗≤450W/㎡、平均功耗≤150W/㎡。                                                                                                                                                   11、可视角：水平视角≥160°、垂直视角≥160°。                                                                                               ★12、LED显示屏图像有降噪、增强、运动补偿、色坐标交换处理、钝化处理、无几何失真和非线性失真现象。                                                                                                                                                                                                                                         ★13、支持双电网供电，当其中一路交流电网跳闸后，另外一路电网继续供电，实现不间断供电，支持热备份，当其中一块电源失效后，另外一块电源继续工作，从而实现不间断供电。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14、LED显示屏可实现LED单点检测、通讯检测、温度检测、电源检测、温度监控等功能，具有故障自动警告功能，并向操作员发出警报信息。                                                                                                         15、LED显示屏具有多点测温系统，均衡散热，防止局部温度温度过高造成色彩漂移，并提高显示屏寿命。                                                                                            ★16、LED显示屏采用PWM芯片，可智能调节正常工作与睡眠状态下的节能效果。                                                                                                                        17、为确保LED显示屏的可靠性，频率循环范围5~55~5HZ，振幅0.19mm，扫频速率5min/次，互相垂直的两个方向，试验后能正常工作。（提供产品检测报告）                                                                                                                                                          18、使用寿命≥100000hrs、MTBF无故障时间≥20000hrs、支持7×24H连续工作。（提供产品检测报告）                                                                                          19、为了保证LED显示屏质量，LED模组在-40℃放置8H后通电启动，通过接收卡控制画面切换，LED显示屏模组仍可正常启动，且不许出现缺色、色块、暗块等现象。（提供产品检测报告）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20、为了保证LED显示屏质量，LED模组在高温85℃，85%湿度运行168小时，LED显示屏模组可正常启动，无偏色等显示异常像素失控率满足B级。（提供产品检测报告）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★21、为保证LED显示屏与控制系统的兼容性以及售后维护的方便，LED显示屏与控制系统需具备数据库自动对接功能，通过代码完成显示屏参数设置，实现智能一键调试功能，提供相关证明文件。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★22、为了保证LED显示屏质量，PCB板、防火保护外壳及内部其他元器件均达到V-0等级。（提供产品检测报告）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★23、为确保LED显示屏人眼观看舒适度：“人眼视觉舒适度（VICO）”指数≤1.0。（提供产品检测报告）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★24、为了保证LED显示屏质量，LED显示屏生产厂家需通过国军标认证，职业健康管理体系认证证书，CAQI-稳定合格认证，CAQI-质量领先认证，中国节能产品认证。（提供产品检测报告）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★25、LED显示屏生产厂家需连续四年获得“LED屏行业十佳LED显示屏应用工程”证书。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★26、提供投标LED显示屏服务能力达到GB/T27922-2011《商品售后服务评价体系》规定的五星级要求。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★27、提供第三方权威检测机构的检测报告扫描件（厂家盖章）。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★28、为确保供货、售后渠道的正规性，投标单位需提供LED显示屏厂家的原厂质保函。                                                                                       ★29、所选设备要求提供厂家生产许可证、合格证、检验报告等相关证件。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定制照壁</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防爆玻璃</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钢化玻璃≥8mm，当玻璃受外力破坏时，碎片会成类似蜂窝状的钝角碎小颗粒，不易对人体造成严重的伤害。</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村委会管理系统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管理系统及相关配件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★1.屏体面积≥5.63平方，像素间距≤1.538mm，像素点密度≥422500Dots/㎡，灯管封装SMD1212。                                                                                                                         ★2、模组分辨率≥21632Dots。                                                                                                                                     3、驱动方式：恒流驱动，驱动芯片具有消隐功能、倍频刷新率提升2/4/8倍、低灰偏色改善。                                                                                                           4、套件材质：采用聚碳酸酯和玻璃纤维。                                                                                                                                                             5、低亮高灰特性：100%亮度时，≥16bits灰度；20%亮度时，≥12bits灰度。                                                                                                                              ★6、亮度≥700cd/㎡，亮度均匀性≥98%，亮度等级≥30级。                                                                                                                                             ★7、色温：1000—18000K可调，可支持100%、75%、50%、25%四档电平白场调节色温误差≤200K。                                                                                                             ★8、色度均匀性±0.002Cx、Cy，色域≥120%NTSC。                                                                                                                                                   ★9、对比度≥7000:1反光率≤1%,平整度：≤0.1mm,刷新率:3840Hz                                                                                                                                                  10、峰值功耗≤350W/㎡、平均功耗≤110W/㎡。                                                                                                                                                   11、可视角：水平视角≥160°、垂直视角≥160°。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★12、LED显示屏图像有降噪、增强、运动补偿、色坐标交换处理、钝化处理、无几何失真和非线性失真现象。                                                                                                                                                                                                                                           ★13、支持双电网供电，当其中一路交流电网跳闸后，另外一路电网继续供电，实现不间断供电，支持热备份，当其中一块电源失效后，另外一块电源继续工作，从而实现不间断供电。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★14、LED显示屏可实现LED单点检测、通讯检测、温度检测、电源检测、温度监控等功能，具有故障自动警告功能，并向操作员发出警报信息。                                                                                                         15、LED显示屏具有多点测温系统，均衡散热，防止局部温度温度过高造成色彩漂移，并提高显示屏寿命。                                                                                            ★16、LED显示屏采用PWM芯片，可智能调节正常工作与睡眠状态下的节能效果。                                                                                                                        17、为确保LED显示屏的可靠性，频率循环范围5~55~5HZ，振幅0.19mm，扫频速率5min/次，互相垂直的两个方向，试验后能正常工作。（提供产品检测报告）                                                                                                                                                          ★18、使用寿命≥100000hrs、MTBF无故障时间≥20000hrs、支持7×24小时连续工作。（提供产品检测报告）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19、为了保证LED显示屏质量，LED模组在高温85℃，85%湿度运行168小时，LED显示屏模组可正常启动，无偏色等显示异常像素失控率满足B级。（提供产品检测报告）                                                                                                                                                                                                                                                                    ★20、为保证LED显示屏与控制系统的兼容性以及售后维护的方便，LED显示屏与控制系统需具备数据库自动对接功能，通过代码完成显示屏参数设置，实现智能一键调试功能，提供相关证明文件。                                                                                                                                                             ★21、为了保证LED显示屏质量，PCB板、防火保护外壳及内部其他元器件均达到V-0等级。（提供产品检测报告）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★22、为确保LED显示屏人眼观看舒适度：“人眼视觉舒适度（VICO）”指数≤1.0。（提供产品检测报告）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★23、LED显示屏生产厂家需连续四年获得“LED屏行业十佳LED显示屏应用工程”证书。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★24、提供投标LED显示屏服务能力达到GB/T27922-2011《商品售后服务评价体系》规定的五星级要求。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25、为了保证LED显示屏质量，LED显示屏生产厂家需通过国军标认证，职业健康管理体系认证证书，CAQI-稳定合格认证，CAQI-质量领先认证，中国节能产品认证并加盖厂家鲜章                                                                                                                            ★26、提供第三方权威检测机构的检测报告扫描件（厂家盖章）。                                                                                                                       ★27、为确保供货、售后渠道的正规性，投标单位需提供LED显示屏厂家的原厂质保函。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★28、所选设备要求提供厂家生产许可证、合格证、检验报告等相关证件。           </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操作台</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升级改造及相关配套</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提供操作主机≥3台，总体布局升级改造</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智慧停车</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闸机（4米伸缩杆）</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1、输入电源 220VAC+10%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2、电机功率 ≥60W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3、电机驱动 ：交流电机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4、运行速度：≤3s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5、杆长 4米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6、道闸方向 右向 左向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7、道闸类型 直杆/伸缩直杆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8、机箱材质 冷轧钢                                                                                                                  9、遥控距离 ≤30m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10、工作环境温度 -30℃~80℃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11、防水等级 IP54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闸机（6米伸缩杆）</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1、输入电源 220VAC+10%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2、电机功率 ≥60W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3、电机驱动 交流电机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4、运行速度：≤6s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5、杆长 6米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6、道闸方向 右向 左向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7、道闸类型 直杆/伸缩直杆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8、机箱材质 冷轧钢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9、遥控距离 ≤30m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10、工作环境温度 -30℃~80℃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11、防水等级 IP54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抓拍摄像机</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1、传感器类型 1/3” Progressive Scan CMOS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2、最小照度 彩色0.04lx(F2.0,AGC ON)</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3、黑白0.02lx(F2.0,AGC ON)</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4、快门 1/30秒至1/100,000秒</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5、镜头 3.1~6mm电动变焦镜头</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6、视频压缩标准 H.264/H.265/MJPEG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7、压缩输出码率 32 Kbps~16M bps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8、图像格式 JPEG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9、图像尺寸 ≥1920*1200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10、帧率≥ 25fps(1920*1200)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11、图像设置 饱和度,亮度,对比度,白平衡,增益,3D降噪通过软件可调</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12、支持协议 TCP/IP,HTTP,DHCP,DNS,RTP,RTSP,NTP,支持FTP上传图片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13、图片格式 采用JPEG编码,图片质量可设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14、智能识别 车牌识别</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15、补光灯控制 补光灯自动光控、时控可选；</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16、LED灯珠数量 ≥9颗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17、通讯接口≥ 1个RJ45 10M/100M 自适应以太网口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18、触发输入≥2个触发/报警输入</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19、继电器输出 ≥2路继电器输出，支持道闸开</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20、LED显示屏、尺寸≥256mm*128mm，分辨率≥32*64,亮度≥1200cd/m²</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21、工作温度和湿度 -20℃~70℃,湿度小于90%(无凝结)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22、电源供应 AC220V</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23、防雷 支持防雷</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24、重量≤14kg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25、功率 LED:≥ 35W </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一体化终端</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1、处理器 Intel Bay Trail 平台处理器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2、内存 ≥4GB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3、硬盘存储 ≥ 128G SSD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4、显示器分辨率 ≥1920x1080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5、音频输入 ≥1路MIC输入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6、音频输出 ≥1 路音频输出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7、报警输入 ≥4 路报警输入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8、报警输出 ≥4 路报警输出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9、≥5 个带交换机功能的 100M/1000M 自适应以太网接口及1个独立100M/1000M自适应网络接口，支持双网隔离.</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10、尺寸≤525mmx170mmx377mm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11、热设计，保证机器稳定运行。</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12、功耗 峰值≤ 60W，平均≤35W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13、工作环境 工作温度 0℃~40℃、工作湿度 10%~95%</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防砸雷达</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1、波束宽度 俯仰≤±10°，水平≤±38°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2、响应时间(ms) ≤50ms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3、技术参数 防砸宽度(m) 横向宽度0~2m 可调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4、车道宽度(m) 0.3~6m(可调)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5、检测目标 人或车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6、支持在线调试 串口/WIFI 调试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7、支持在线升级 串口/WIFI升级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8、使用环境 温度(℃) -40~+85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9、尺寸 外形尺寸(mm³) ≤112.4*136.9*29</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个</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车检器</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1、车辆检出率：≥99%</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2、灵敏度（-△L/L）：0.02%～0.16%</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3、线圈工作频率：25～120KHz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4、最快响应时间 ：≤3.5ms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5、线圈故障自恢复：在线圈故障排除后，检测器能够自行恢复到检测状态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6、线圈故障恢复时间：≤100ms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7、线圈故障检测周期： &lt;10ms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8、工作温度：-30℃～70℃</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个</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地感线圈</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0.75㎡铜芯线</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卷</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灯杆升级与改造</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定时开关</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1,、电源电压220VAC50-60HZ+15%</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2、电力消耗≤1.5VA</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3、显示输出LCD走时误差≤2秒/天</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4、环境温度-25℃至60℃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5、环境湿度45至85%RH</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6、机械寿命≥3000000次</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7、重量≤410克，尺寸≤120x74x52mm</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86</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个</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防水箱</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86</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个</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9</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监控立杆</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监控杆</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4米杆，定制。含地笼安装</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监控飘杆</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定制，含安装</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16</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安防监控</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1、≥400万像素。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★2、远程与现场对讲交流，内置麦克风，内置喇叭，可外置音柱扩音。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★3、提供≥30天远程存储。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4、要求POE供电，防水防尘。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5、SD卡存储：支持8G-256G。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6、工作温度：-20℃-60℃。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7、多种夜视模式：红外夜视、全彩夜视、人形侦测。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8、IP66防水防尘。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★9、终端设备必须通过中国强制性产品CCC认证，并提供相关证明文件。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丰源村</w:t>
            </w: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外接音柱</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1、采用 D 类数字功放，效率≥90%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2、高品质扬声器效果，有效的还原声音的清晰度。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3、内置储存空间≥16M，可储存 ≥6 段 MP3 格式文件，拨码选择后可触发对应的音频文件。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4、可接入摄像机模拟音频输入，播放模拟信号声音。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5、具有独立的音量调节，可单独调节本地音量和线路音量功能。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6、铝合金机壳，可有效抗震，抗压。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7、防护等级：IP66及以上</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网桥</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1、传输距离≥5KM；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2、桥接速率≥867Mbps；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3、内置定向天线；</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4、支持Web/APP/远程管理；</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5、支持12VDC和24V非标PoE两种供电方式；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6、支持壁挂/抱箍安装。</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11</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风貌展示</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★1、数字降噪：3D降噪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2、背光补偿：支持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3、云台旋转角度：水平≥345°/垂直≥120°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4、像素≥300万像素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5、分辨率≥2304*1296</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★6、夜视功能：自带两颗白光灯和两颗红外灯，支持红外夜视，长期全彩夜视，智能全彩夜视三种夜视模式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7、编码标准：H.265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8、双向语音：支持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9、拾音距离：≥5m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10、扬声器：支持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11、SD卡：≥128GB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12、支持网络协议：TCP/IP，ICMP，HTTP，DHCP，DNS，DDNS，RTP，RTSP，RTCP，NTP，UPnP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13、环境温度：-30℃~60℃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14、防水防尘：IP66</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★15、提供≥30天远程存储。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★16、终端设备必须通过中国强制性产品CCC认证，并提供相关加盖生产厂家公章的证明文件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垃圾预警监测</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1、像素≥400万 CMOS传感器。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3、内置麦克风和喇叭。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4、内置红外与白光补光灯。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5、支持白光报警功能，当报警产生时，可触发联动声音警报和白光闪烁。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6、红外补光距离≥100米。</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7、需支持双码流技术，主码流≥2560x1440@25fps，子码流≥640x480@25fps。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8、在2560x1440 @ 25fps下，清晰度≥1400TVL。</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9、支持H.264、H.265、MJPEG视频编码格式，其中H.264支持Baseline/Main/High Profile。</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★10、支持声音报警功能，报警声音类型≥10种，报警声级及报警次数可设置。</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★11、需具备智能报警防干扰功能，当在设定的检测范围内出现光线明暗变化、篮球滚动、狗行走、树摇晃时，不触发报警。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 防护等级：IP67及以上。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室外防水音柱</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1、线性音频输入,可以播放外部音源</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2、支持多通道接收处理功能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3、内置音频存储空间≥3M，可以通过外置USB接口擦除拷贝≥6首音乐，通过拨码开关选择预设音乐信号，通过触发播放预设语音节目</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4、内部功放具备过热、过压、短路等保护功能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5、输出音量可调节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6、高保真度音箱功放，内置D类数字功放，效率高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7、接受不同报警信号≥3组</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8、额定功率 ≥ 20W</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13</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水库全景监控</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1、主码流视频分辨率与帧率≥3840×1080@25fps，子码流视频分辨率与帧率≥1920×540@25fps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2、内置麦克风、扬声器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3、最低照度彩色0.0005lx</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4、白光灯开启时，可识别距离设备≥30米处的人体轮廓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5、在彩色模式下，当照度降低至一定值时，可自动开启白光灯进行补光，在白天、夜晚均可输出彩色视频图像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★6、水平视场角≥180°，垂直视场角≥47°</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★8、支持区域入侵、越界入侵、进入区域、离开区域智能行为分析功能，当智能分析行为达到设定的阈值时，可通过客户端软件或IE浏览器给出报警提示，报警检测目标可设置为人体、车辆、人体和车辆3种</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★9、具备智能报警防干扰功能，当在设定的检测区域内出现光线明暗变化、篮球滚动、狗行走、树摇晃时，不触发报警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★10、具备目标过滤功能，可对目标大小范围进行设置，设备只对预设大小范围内的人员及机动车辆进行检测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11、同一场景相同图像质量下设备在H、264或H、265编码方式时，开启智能编码功能和不开启智能编码相比，码率节约≥80％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12、从麦克风接收声音并显示状态至扬声器产生音频输出并显示状态的时间应≤200ms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13、具有本机存储功能，支持SD卡≥256GB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14、具有≥1个RJ45网络接口，≥1个报警输入接口，≥1个报警输出接口，≥1个音频输入接口，≥1个音频输出接口，≥1个DC12V电源输出接口，支持POE供电</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 防护等级：IP67及以上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14</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车辆卡口监控</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1、采用防护罩及高清相机一体化设计，支持电动变焦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2、像素≥400万，传感器CMOS，抓拍图片分辨率≥2688 × 1520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3、支持智能分析模式，可设置为人脸抓拍模式和混合抓拍模式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★4、支持机动车车牌颜色识别，包括：蓝、黄、黑、白、绿（大型新能源汽车号牌、小型新能源汽车号牌、拖拉机号牌）</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5、支持对行人正面、侧面、背面检测、框选和抓拍，支持非机动车（自行车、三轮车、电动车）和机动车抓拍，支持人脸、车牌小图、人脸与人体、车牌小图与车辆关联显示</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6、支持非法访问、断网、IP冲突、存储异常等异常报警功能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★7、支持识别机动车子品牌及对应年款，识别车头子品牌标志应≥6000种，识别车尾子品牌标志应≥3200种</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★8、支持抓拍图片大小压缩功能，压缩比0-100可设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9、支持机动车车型识别，白天夜间检测准确率≥99%</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机动车车型识别，包含SUV、MPV、小型轿车、微型轿车、面包车、皮卡车、货车、小型货车、小型客车、中型客车、大型客车、集装箱卡车、微型卡车、吊车、油罐车、混凝土搅拌车、平板拖车、两厢轿车、三厢轿车、跑车等≥20种</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11、防护等级：IP67及以上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LED常亮灯</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1、原装大功率LED，补光≥三车道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2、LED灯珠数量≥16颗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3、发光角度≥40°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4、防护等级：IP66</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5、功率：最大功率≥35W</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终端服务器</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1、嵌入式操作系统，内置≥2T硬盘</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2、双网卡，100M以太网接口≥4个，1000M以太网接口≥2个、1000M SFP光纤接口≥2个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3、坚固紧凑无风扇设计，体积小巧，适合在路边机柜及抱杆机柜使用，单面接口设计，更便于施工操作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4、图片与录像存储可设置配额</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5、支持对通行车辆的信息（记录和图片、录像）存储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6、支持区间测速功能</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15</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森林防火监测系统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1、摄像机靶面尺寸≥1/1.8英寸</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2、内置GPU芯片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3、摄像机内置镜头，光学变倍≥53倍，镜头最大焦距≥350mm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4、视频分辨率≥2560×1440，帧率≥25帧/秒</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5、最低照度：彩色0.0002 lx，黑白0.0001 lx</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★6、摄像机抓拍图片格式包括JPEG、JPEG2000、BMP、PNG及TIF</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★7、在丢包率设置20%且网络直连的环境下，网络延时设置200ms，带宽限制1Mbps情况下，画面预览正常不卡顿，且云台响应客户端控制命令的延时时间≤200ms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★8、摄像机可在预览画面及抓拍图片中叠加人员和车辆的移动轨迹，轨迹颜色支持红色、黄色、蓝色、绿色及紫色，轨迹末尾具有一个方向箭头，指向目标离开的方向，抓拍图片≥500KB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★9、摄像机通过标定校准可检测当前镜头方向与地平面夹角，并根据夹角变化自动调整倍率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10、摄像机可对镜头前盖玻璃进行加热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11、设备可响应平台下发的获取可视域信息指令，上报设备视场角、可视距离、安装位置、镜头指向方位。其中设备视场角、可视距离能够随着倍率变化</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12、具备BDS定位和GPS定位功能，并能够在监控画面叠加设备所在的经纬度信息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13、可通过内置电子罗盘在监视画面上叠加设备镜头当前指向方位和角度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14、在混合目标检测模式下，可同时对行人、非机动车、机动车进行检测、跟踪及抓拍</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15、在混合目标检测模式下，可同时对行人、非机动车、机动车进行分类计数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16、支持≥7路报警输入，≥2路报警输出，支持≥1路音频输入和输出接口</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2合1防雷器</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电源、网络二合一防雷器（≥8芯全保护）</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包含插线板、PVC管、胶带、扎带、双面胶、线卡、管卡、膨胀螺丝、固定螺丝、电源线、光猫、户外小机柜、引电接入等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16</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智能广播</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收扩机</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1、采用可寻址全数字解码，接收上级远程控制，根据不同使用环境实现多级分区，支持全区播放、分区播放、单点播放。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2、支持2G、3G、4G/IP全模式接收解码。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3、支持多任务接收，终端可根据任务优先级选择高优先级的优先播放。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4、支持设备断电广播自动恢复功能。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5、支持工作状态指示，产品带LED指示灯，可指示不同状态。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6、支持通过APP及WEB客户端配置、查询终端参数。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7、支持通过WEB客户端远程升级。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8、支持远程重启。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9、支持远程调取日志功能。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10、支持功放过热、过压、过流保护功能。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★11、支持地理位置信息，可在APP/平台上显示终端位置，并可通过APP 直接导航到终端安装位置。（提供省级及以上国家职能部门下属检测机构出具符合国标（GD/J079-2018 至 GD/J089-2018）检测报告（检验结果为符合要求））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12、支持自动设备状态回传功能。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1、输出功率：≥50W。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2、频率响应：100Hz～16kHz。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3、信噪比：≥80dB。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4、失真度：≤1%(@1W)。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5、音频采样率：8kHz～96kHz。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6、音频位率：8kbps～320kbps自适应。</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7、音频格式： AAC、MP3。</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8、支持协议：UDP、TCP、ARP、RTMP。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9、电源电压：AC 100～280V/50Hz。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10、工作温度：-30～70℃。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11、工作湿度：10%～90%。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★12、具有GB/T 26572-2011电子电气产品中限用物质的限量要求的检测报告（提供相应的检测报告扫描件）。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★13、具有工业和信息化部无线电管理会出具的无线电发射设备型号核准证（提供相应的证书扫描件）。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★14、具有工业和信息化部出具的电信设备进网许可证（提供相应的证书扫描件）。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33</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IP话筒</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1、实现对特定广播终端或区域的寻呼广播。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 “一键”呼叫广播，可通过触屏滑动“话筒”或“外接音源”按钮，开启或关闭对应的音源通道。</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3、支持实时采播广播。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4、支持一路RCA接口本地线路音频输出，可外接功放扩音广播。</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5、支持静态IP或DHCP两种方式，支持自动获取DNS，可跨网段、跨路由工作。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6、支持通过WEB网管及APP在线升级。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★7、面板具有≥7寸触摸大屏显示,可显示在线状态及各主要操作参数，方便操作和查看。（提供省级及以上国家职能部门下属检测机构出具符合国标（GD/J079-2018 至 GD/J089-2018）检测报告（检验结果为符合要求））</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8、含手机APP。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1、频率响应：100Hz～16kHz（±3dB）。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2、信噪比：≥80dB。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3、总谐波失真（THD@1W）：≤1%。</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4、采样率：44.1kHz～96kHz。</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5、音频位率：32kbps～320kbps自适应。</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6、网络延时：≤60ms。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7、音频格式：MP3/AAC。</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8、支持协议：ARP、UDP、TCP、RTMP。</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手机APP技术参数</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★1、支持广播喊话、文件点播、录音广播、定时广播、分区广播、频道管理、设备安装、设备查看、设备参数配置、设备巡检与出库等功能。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2、支持广播播控、组织调整、设备管理、资源管理、系统管理等操作。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3、支持日志查看，录音回听，实时监听与监控等安全手段。</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17</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应急指挥系统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可视化对讲(含五年接入费)</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★1、终端设备能够在不同网络制式下正常使用，须支持：GSM、TD-SCDMA、CDMA、WCDMA、TDD-LTE、FDD-LTE。</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2、Android操作系统，内存RAM≥1GB、ROM≥8G。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3、终端设备须配备≥4000mAh电池，工作时间≥24小时。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4、终端设备尺寸≤147mm*62mm*27mm，重量≤208g（含电池）。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5、终端设备须支持可拆卸更换电池。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6、终端设备屏幕尺寸≥2.0英寸。</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7、终端设备须支持摄像头，摄像头像素≥500W。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8、终端设备须支持GPS/北斗定位功能。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9、终端设备须支持蓝牙功能，蓝牙版本≥4.1。</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10、终端设备须支持NFC功能。</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★11、终端设备须具有中华人民共和国工业和信息化部颁发的《无线电发射设备型号核准证》，须提供有效期内认证证书扫描件加盖投标单位公章。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★12、终端设备须具备良好的防水防尘功能，防尘防水等级≥IP67，须提供检测报告扫描件加盖投标单位公章。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★13、终端设备必须获得信息产业部颁发的进网许可证，并提供相关加盖生产厂家公章的证明文件。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★14、终端设备必须通过中国强制性产品CCC认证，并提供相关加盖生产厂家公章的证明文件。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24</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调度台使用费</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通过应急指挥调度终端，实现对讲功能、人员定位、轨迹分析、电子围栏、工单闭环、语音对讲、可视对讲、任务派发等功能。</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年</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18</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违建检测系统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高空数据采集设备及配件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1、尺寸≥470×585×215 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2、尺寸（折叠）≥365×215×195 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3、重量（含电池）≥3770 ± 10 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4、最大起飞重量≥3998 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5、悬停精度（无风或微风环境）：垂直：±0.1 m，水平：±0.3 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6、最大上升/下降速度≥6 m/s，5 m/s，最大倾斜下降速度≥7 m/s，最大水平飞行速度≥23 m/s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7、最大飞行海拔高度≥5000 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8、最大可承受风速≥15 m/s（七级风）</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9、最大飞行时间≥40分钟</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10、IP 防护等级IP55及以上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11、工作环境温度-20℃ 至 50℃</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12、云台角度抖动量±0.01°</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13、变焦相机 影像传感器1/2" CMOS，有效像素4800 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★14、热成像传感器，非制冷氧化钒（VOx），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★15、镜头DFOV：61°焦距：9.1 mm（等效焦距：40mm）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★16、光圈：f/1.0，对焦距离：≥5m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★17、红外测温精度±2℃或±2%，取较大值</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★18、飞行相机分辨率1920 × 1080，DFOV161°，帧率30 fps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19、遥控器显示屏：触控液晶显示屏，尺寸≥7 英寸，分辨率≥1920×1200，最大亮度≥1200 cd/m2</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20、最大信号有效距离（无干扰、无遮挡）≥15 km</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21、智能电池箱空箱重量≥3.95 kg，工作环境温度-20℃ 至 40℃，充电时间≤35分钟</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22、具备防倒灌保护，短路保护，过压保护，过流保护，过温保护                                                                                                       ★23、支持加载可视喊话器</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行业无忧保险</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减少主设备碰撞损坏、设备进水、信号干扰等飞行意外以及因等待维修时间过长带来的损失，进一步提高作业效率，最大限度保障行业用户的权益。</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年</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100万第三者责任险</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第三者责任险，是指被保险人或其允许的驾驶人员在使用保险无人机过程中发生意外事故，致使第三者遭受人身伤亡或财产直接损毁，依法应当由被保险人承担的经济责任，保险公司负责赔偿。同时，若经保险公司书面同意，被保险人因此发生仲裁或诉讼费用的，保险公司在责任限额以外赔偿，但最高不超过责任限额的30%。</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年</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算法服务器（含软件）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提供自主航线规划、飞行航拍、二维正射影像与三维模型重建的应用软件。一站式解决方案帮助行业用户全面提升航测内外业效率，将真实场景转化为数字资产。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人工导入分析图片，地图数据比对系统，比对模块用以对原始地图与即时地图进行比对扫描和分析，并将彼此不同信息定义为警告信息并生成相应报告。</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初级飞手（AOPA驾驶员）培训教程</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1.AOPA或CAAC无人机驾驶员标准技术培训；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2.通过国家标准考核后颁发相关执照；</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人</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19</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产业园区信息发布系统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信息发布系统及相关配件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★1、屏体尺寸≥4.61㎡，像素间距≤3.076mm，像素点密度≥105625Dots/㎡，灯管封装SMD1515。                                                                                                                         ★2、模组分辨率≥5408Dots。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3、驱动方式：恒流驱动，驱动芯片具有消隐功能、倍频刷新率提升2/4/8倍、低灰偏色改善。                                                                                                           4、套件材质：采用聚碳酸酯和玻璃纤维。                                                                                                                                                             5、低亮高灰特性：100%亮度时，≥16bits灰度；20%亮度时，≥12bits灰度。                                                                                      ★6、亮度≥6000cd/㎡，亮度均匀性≥98%，亮度等级≥30级。                                                                                                                                             7、色温：1000—18000K可调，可支持100%、75%、50%、25%四档电平白场调节色温误差≤200K。                                                                                                             ★8、色度均匀性±0.002Cx、Cy，色域≥120%NTSC。                                                                                                                                                   ★9、对比度≥9000:1反光率≤1%,平整度：≤0.2mm，刷新率:3840Hz                                                                                                                                                 ★10、峰值功耗≤450W/㎡、平均功耗≤150W/㎡。                                                                                                                                                   11、可视角：水平视角≥160°、垂直视角≥160°。                                                                                               ★12、LED显示屏图像有降噪、增强、运动补偿、色坐标交换处理、钝化处理、无几何失真和非线性失真现象。                                                                                                                                                                                                                                         ★13、支持双电网供电，当其中一路交流电网跳闸后，另外一路电网继续供电，实现不间断供电，支持热备份，当其中一块电源失效后，另外一块电源继续工作，从而实现不间断供电。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14、LED显示屏可实现LED单点检测、通讯检测、温度检测、电源检测、温度监控等功能，具有故障自动警告功能，并向操作员发出警报信息。                                                                                                         15、LED显示屏具有多点测温系统，均衡散热，防止局部温度温度过高造成色彩漂移，并提高显示屏寿命。                                                                                            ★16、LED显示屏采用PWM芯片，可智能调节正常工作与睡眠状态下的节能效果。                                                                                                                        17、为确保LED显示屏的可靠性，频率循环范围5~55~5HZ，振幅0.19mm，扫频速率5min/次，互相垂直的两个方向，试验后能正常工作。（提供产品检测报告）                                                                                                                                                          18、使用寿命≥100000hrs、MTBF无故障时间≥20000hrs、支持7×24H连续工作。（提供产品检测报告）                                                                                          19、为了保证LED显示屏质量，LED模组在-40℃放置8H后通电启动，通过接收卡控制画面切换，LED显示屏模组仍可正常启动，且不许出现缺色、色块、暗块等现象。（提供产品检测报告）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20、为了保证LED显示屏质量，LED模组在高温85℃，85%湿度运行168小时，LED显示屏模组可正常启动，无偏色等显示异常像素失控率满足B级。（提供产品检测报告）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★21、为保证LED显示屏与控制系统的兼容性以及售后维护的方便，LED显示屏与控制系统需具备数据库自动对接功能，通过代码完成显示屏参数设置，实现智能一键调试功能，提供相关证明文件。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★22、为了保证LED显示屏质量，PCB板、防火保护外壳及内部其他元器件均达到V-0等级。（提供产品检测报告）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★23、为确保LED显示屏人眼观看舒适度：“人眼视觉舒适度（VICO）”指数≤1.0。（提供产品检测报告）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★24、为了保证LED显示屏质量，LED显示屏生产厂家需通过国军标认证，职业健康管理体系认证证书，CAQI-稳定合格认证，CAQI-质量领先认证，中国节能产品认证并加盖厂家鲜章 。                                                                     ★25、LED显示屏生产厂家需连续四年获得“LED屏行业十佳LED显示屏应用工程”证书。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★26、提供投标LED显示屏服务能力达到GB/T27922-2011《商品售后服务评价体系》规定的五星级要求。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★27、提供第三方权威检测机构的检测报告扫描件（厂家盖章）。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★28、为确保供货、售后渠道的正规性，投标单位需提供LED显示屏厂家的原厂质保函。                                                                                       ★29、所选设备要求提供厂家生产许可证、合格证、检验报告等相关证件。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定制雨棚</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20</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村委会信息发布系统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信息发布系统及相关配件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★1、屏体尺寸≥4.61㎡，像素间距≤3.076mm，像素点密度≥105625Dots/㎡，灯管封装SMD1515。                                                                                                                         ★2、模组分辨率≥5408Dots。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3、驱动方式：恒流驱动，驱动芯片具有消隐功能、倍频刷新率提升2/4/8倍、低灰偏色改善。                                                                                                           4、套件材质：采用聚碳酸酯和玻璃纤维。                                                                                                                                                             5、低亮高灰特性：100%亮度时，≥16bits灰度；20%亮度时，≥12bits灰度。                                                                                      ★6、亮度≥6000cd/㎡，亮度均匀性≥98%，亮度等级≥30级。                                                                                                                                             7、色温：1000—18000K可调，可支持100%、75%、50%、25%四档电平白场调节色温误差≤200K。                                                                                                             ★8、色度均匀性±0.002Cx、Cy，色域≥120%NTSC。                                                                                                                                                   ★9、对比度≥9000:1反光率≤1%,平整度：≤0.2mm，刷新率:3840Hz                                                                                                                                                 ★10、峰值功耗≤450W/㎡、平均功耗≤150W/㎡。                                                                                                                                                   11、可视角：水平视角≥160°、垂直视角≥160°。                                                                                               ★12、LED显示屏图像有降噪、增强、运动补偿、色坐标交换处理、钝化处理、无几何失真和非线性失真现象。                                                                                                                                                                                                                                         ★13、支持双电网供电，当其中一路交流电网跳闸后，另外一路电网继续供电，实现不间断供电，支持热备份，当其中一块电源失效后，另外一块电源继续工作，从而实现不间断供电。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14、LED显示屏可实现LED单点检测、通讯检测、温度检测、电源检测、温度监控等功能，具有故障自动警告功能，并向操作员发出警报信息。                                                                                                         15、LED显示屏具有多点测温系统，均衡散热，防止局部温度温度过高造成色彩漂移，并提高显示屏寿命。                                                                                            ★16、LED显示屏采用PWM芯片，可智能调节正常工作与睡眠状态下的节能效果。                                                                                                                        17、为确保LED显示屏的可靠性，频率循环范围5~55~5HZ，振幅0.19mm，扫频速率5min/次，互相垂直的两个方向，试验后能正常工作。（提供产品检测报告）                                                                                                                                                          18、使用寿命≥100000hrs、MTBF无故障时间≥20000hrs、支持7×24H连续工作。（提供产品检测报告）                                                                                          19、为了保证LED显示屏质量，LED模组在-40℃放置8H后通电启动，通过接收卡控制画面切换，LED显示屏模组仍可正常启动，且不许出现缺色、色块、暗块等现象。（提供产品检测报告）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20、为了保证LED显示屏质量，LED模组在高温85℃，85%湿度运行168小时，LED显示屏模组可正常启动，无偏色等显示异常像素失控率满足B级。（提供产品检测报告）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★21、为保证LED显示屏与控制系统的兼容性以及售后维护的方便，LED显示屏与控制系统需具备数据库自动对接功能，通过代码完成显示屏参数设置，实现智能一键调试功能，提供相关证明文件。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★22、为了保证LED显示屏质量，PCB板、防火保护外壳及内部其他元器件均达到V-0等级。（提供产品检测报告）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★23、为确保LED显示屏人眼观看舒适度：“人眼视觉舒适度（VICO）”指数≤1.0。（提供产品检测报告）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★24、为了保证LED显示屏质量，LED显示屏生产厂家需通过国军标认证，职业健康管理体系认证证书，CAQI-稳定合格认证，CAQI-质量领先认证，中国节能产品认证并加盖厂家鲜章 。                                                                     ★25、LED显示屏生产厂家需连续四年获得“LED屏行业十佳LED显示屏应用工程”证书。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★26、提供投标LED显示屏服务能力达到GB/T27922-2011《商品售后服务评价体系》规定的五星级要求。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★27、提供第三方权威检测机构的检测报告扫描件（厂家盖章）。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★28、为确保供货、售后渠道的正规性，投标单位需提供LED显示屏厂家的原厂质保函。                                                                                       ★29、所选设备要求提供厂家生产许可证、合格证、检验报告等相关证件。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21</w:t>
            </w:r>
          </w:p>
        </w:tc>
        <w:tc>
          <w:tcPr>
            <w:tcW w:w="39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村委会管理系统</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管理系统及相关配件</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★1.屏体面积：≥13平方.像素间距≤1.860mm，像素点密度≥288906Dots/㎡，灯管封装SMD1515。                                                                                                                         ★2、模组分辨率≥172*86=14792Dots。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★3、驱动方式：恒流驱动，驱动芯片具有消隐功能、倍频刷新率提升2/4/8倍、低灰偏色改善。</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4、套件材质：采用聚碳酸酯和玻璃纤维。</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5、低亮高灰特性：100%亮度时，≥16bits灰度；20%亮度时，≥12bits灰度。</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★6、亮度≥700cd/㎡，亮度均匀性≥98%，亮度等级≥30级。</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7、色温：1000—18000K可调，可支持100%、75%、50%、25%四档电平白场调节色温误差≤200K。</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8、色度均匀性±0.002Cx、Cy，色域≥120%NTSC。</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★9、对比度≥7000:1反光率≤1%,平整度：≤0.1mm,刷新率:3840Hz                                                                                                                                                  10、峰值功耗≤300W/㎡、平均功耗≤110W/㎡。</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11、可视角：水平视角≥140°、垂直视角≥130°。                                                                             12、LED显示屏图像有降噪、增强、运动补偿、色坐标交换处理、钝化处理、无几何失真和非线性失真现象。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★13、支持双电网供电，当其中一路交流电网跳闸后，另外一路电网继续供电，实现不间断供电，支持热备份，当其中一块电源失效后，另外一块电源继续工作，从而实现不间断供电。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★14、LED显示屏可实现LED单点检测、通讯检测、温度检测、电源检测、温度监控等功能，具有故障自动警告功能，并向操作员发出警报信息。                                                                                                         15、LED显示屏具有多点测温系统，均衡散热，防止局部温度温度过高造成色彩漂移，并提高显示屏寿命。                                                                                            16、LED显示屏采用PWM芯片，可智能调节正常工作与睡眠状态下的节能效果。                                                                                                                        17、为确保LED显示屏的可靠性，频率循环范围5~55~5HZ，振幅0.19mm，扫频速率5min/次，互相垂直的两个方向，试验后能正常工作。（提供产品检测报告）                                                                                                                                                          ★18、使用寿命≥100000hrs、MTBF无故障时间≥20000hrs、支持7×24小时连续工作。（提供产品检测报告）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★19、为了保证LED显示屏质量，LED模组在高温85℃，85%湿度运行168H，LED显示屏模组可正常启动，无偏色等显示异常像素失控率满足B级。（提供产品检测报告）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★20、为保证LED显示屏与控制系统的兼容性以及售后维护的方便，LED显示屏与控制系统需具备云数据库自动对接功能，通过代码完成显示屏参数设置，实现智能一键调试功能，提供相关证明文件。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★21、为了保证LED显示屏质量，PCB板、防火保护外壳及内部其他元器件均达到V-0等级。（提供产品检测报告）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★22、为确保LED显示屏人眼观看舒适度：“人眼视觉舒适度（VICO）”指数≤1.0。（提供产品检测报告）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23、LED显示屏生产厂家需连续四年获得“LED屏行业十佳LED显示屏应用工程”证书。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★24、提供投标LED显示屏服务能力达到GB/T27922-2011《商品售后服务评价体系》规定的五星级要求。                                                                                                                                                                               ★25、为了保证LED显示屏质量，LED显示屏生产厂家需通过国军标认证，职业健康管理体系认证证书，CAQI-稳定合格认证，CAQI-质量领先认证，中国节能产品认证并加盖厂家鲜章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26、提供第三方权威检测机构的检测报告扫描件（厂家盖章）。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★27、为确保供货、售后渠道的正规性，投标单位需提供LED显示屏厂家的原厂质保函。                                                                                       ★28、所选设备要求提供厂家生产许可证、合格证、检验报告等相关证件。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块</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平台服务器</w:t>
            </w:r>
          </w:p>
        </w:tc>
        <w:tc>
          <w:tcPr>
            <w:tcW w:w="2901" w:type="pct"/>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1、内存≥32G*2 DDR4，内存插槽≥16根，最大支持扩展内存≥2TB</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2、硬盘数量≥4块，SAS硬盘内存≥600G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3、PCIE扩展：PCIE扩展插槽最大可支持≥6个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4、千兆电口网口≥2个</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管理平台</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1、最大支持≥200000个用户，用户并发登录请求≥500个，同时在线用户≥5000个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2、最大支持管控人员≥1000000个，每个人员可涉及人脸、指纹、卡</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★3、支持AD域</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4、支持部署逐渐（服务）到服务器集群，并进行集群管理</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5、支持根据用户使用习惯自定义配置快捷功能入口，支持首页投放大屏展示，支持最近7天每日的用户活跃数统计</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6、支持以中心管理服务为核心的网络拓扑结构，支持对系统中的分组、服务器、组件等统计概览、查看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多色彩（红、橙、黄）展示运行告警状态，支持告警统计、概览、处理，支持告警记录查看、查询，支持告警单条、批量处理支持系统最近每日告警数统计（≥7天），支持评分量化系统监控指数，显示系统运行状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 支持导航视图管理，对系统内各节点进行查看、增加、删除、修改，展示、查找支持对系统内所有服务器进行监控，包括名称、IP地址、状态、未处理告警数、CPU使用率、内存使用率、磁盘容量、主机代理等支持对系统内所有组件信息进行监控，组件信息包含：组件名称、未处理告警数、所属服务器、最近操作时间、授权状态等</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9、支持按时间、统计组，监控点，设备对客流密度数据进行统计。</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10、支持知识库搜索查询、导入、导出，支持经验分享</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11、监控点管理容量≥1000000路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12、支持全景摄像机，实现360度的全景监控，可以对全景区域内的多个目标进行穿越警戒面、区域入侵、进入区域、离开区域行为的检测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13、支持在预览监控点画面时进行一键上墙、 云台控制、语音对讲</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14、支持视频画面叠加水印，包括视频预览、录像回放、即时回放、录像剪辑、手动录像和录像下载时叠加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15、支持设备录像回传至中心存储，可以支持计划回传和手动回传两种模式</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16、支持获取报警主机所有防区信息，包括扩展防区支持对扩展防区进行布防、撤防、旁路、旁路恢复操作支持接收扩展防区上报事件</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17、支持灯光控制设置，可对单个灯或灯光组进行开关控制和开关计划配置</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 xml:space="preserve">18、支持对拓扑图进行编辑操作，包括拓扑布局修改、拓扑节点查询、拓扑节点搜索、拓扑路线编辑 </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19、支持查看监控点到服务器之间的网络连 支持查看监控点到服务器之间的网络连接和流量情况</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20、提供道路行驶车辆的抓拍识别，包含车牌号码、车牌类型、车牌颜色、车辆类型、车辆颜色、车辆品牌等属性识别</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注：以上标“★”项均需提供省级以上权威机构出具的证明文件复印件并加盖厂家公章证明。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数组式磁盘组</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1、处理器≥64位多核（1颗），内存≥4GB，内存拓展≥32GB，风扇≥2个，支持风扇热插拔、冗余温控调速风扇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2、千兆网口≥2个，可增扩千兆网口≥2个，增配10Gb光纤接口≥2个，增配HDMI接口≥4个，SAS3.0接口≥3个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★3、可接入2T/3T/4T/6T/8T/10T/12T/14T/16T/18T/20T SATA/SAS硬盘；支持NL-SAS 硬盘、HDD硬盘、SSD硬盘、氦气硬盘、空气硬盘；支持 CMR或SMR硬盘，支持硬盘交错/分时启动，节省功耗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4、可接入硬盘≥16块，支持SATA和SAS混插</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★5、设备可对视音频、图片、智能数据（智能行为分析录像）流进行混合直存，无须存储服务器和图片服务器的参与，平台服务器宕机时，存储业务正常</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应能接入并存储≥2048Mbps视频图像，同时转发≥2048Mbps的视频图像，同时下载≥2048Mbps的视频图像；同时回放≥600Mbps的视频图像；在转发模下，可进行2Mbps视频码流转发≥2048路；在总带宽不变的情况下，接入、转发、回放间的性能值可自由调整；支持图片转发≥1024Mbps；支持图片并发输入≥1024Mbps，同时图片并发输出≥1024Mb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7、支持iSCSI直存功能，前端网络摄像机和设备之间可直接通过iSCSI协议进行块存储；</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网络中断后重新恢复，可续存断网期间存储在前端设备中的录像文件，并可通过浏览器设置自动回传和手动回传</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8、支持4Mbps的录像回传≥256路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★9、支持红灯/蓝灯报警，可根据故障紧急程度分级报警，不同级别闪烁不同颜色保养灯，保养灯闪烁时长、频率可设</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★10、设备可对视频流进行丢帧检测，每次检测时间≤5秒，当检测到丢帧时，可发出报警，并生成报警日志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注：以上标“★”项均需提供公安部检测报告证明文件复印件并加盖厂家公章证明。</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 xml:space="preserve">交换机 </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1.固化千兆电接口≥24个，SFP千兆光接口≥4个；</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2.交换容量≥3.36Tbps，包转发率≥126Mpps；</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3.支持生成树协议STP(IEEE 802.1d)，RSTP(IEEE 802.1w)和MSTP(IEEE 802.1s)，完全保证快速收敛，提高容错能力，保证网络的稳定运行和链路的负载均衡，合理使用网络通道，提供冗余链路利用率；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4.支持IPV4/IPV6静态路由，RIP、RIPng；</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5.支持特有的CPU保护策略，对发往CPU的数据流，进行流区分和优先级队列分级处理，并根据需要实施带宽限速，充分保护CPU不被非法流量占用、恶意攻击和资源消耗；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6.设备自带云管理功能，即插即用，可随时查看网络健康度，告警及时推送，有日记事件供回溯；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★7.为保证设备在受到外界机械碰撞时能够正常运行，要求所投交换机IK防护测试级别至少达到IK05，提供国家认可的检测机构出具的IK防护等级测试报告；</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★8.支持快速链路检测协议，可快速检测链路的通断和光纤链路的单向性，并支持端口下的环路检测功能，防止端口下因私接Hub等设备形成的环路而导致网络故障的现象。</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机柜</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1、 服务器机柜≥42U</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2、 尺寸≥2000*600*1000MM（高*宽*深）</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3、 SPCC优质冷轧钢板制作</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4、 防尘轴流风机≥4个</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台</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操作台</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定制</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烟火识别算法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可见光设备赋能，烟火识别算法配置加载及授权</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年</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升级改造及相关配套</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提供操作主机≥3台，总体布局升级改造</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辅材以及施工、安装、调试</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包含插线板、PVC管、胶带、扎带、双面胶、线卡、管卡、膨胀螺丝、固定螺丝、电源线、引电接入等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22</w:t>
            </w:r>
          </w:p>
        </w:tc>
        <w:tc>
          <w:tcPr>
            <w:tcW w:w="39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监控立杆</w:t>
            </w: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监控杆（带供电）</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3米杆，定制。带太阳能、风力供电，以及7天蓄电(埋地）</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监控杆</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3米杆，定制。含地笼安装</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监控杆</w:t>
            </w:r>
          </w:p>
        </w:tc>
        <w:tc>
          <w:tcPr>
            <w:tcW w:w="2901" w:type="pct"/>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6米杆，定制。直径≥140毫米，厚度≥4毫米，0.5米-1.5米横杆，含地笼、基础、防雷接地安装等。</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18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3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8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监控杆</w:t>
            </w:r>
          </w:p>
        </w:tc>
        <w:tc>
          <w:tcPr>
            <w:tcW w:w="2901" w:type="pct"/>
            <w:tcBorders>
              <w:top w:val="single" w:color="000000" w:sz="4" w:space="0"/>
              <w:left w:val="single" w:color="000000" w:sz="4" w:space="0"/>
              <w:bottom w:val="single" w:color="000000" w:sz="4" w:space="0"/>
              <w:right w:val="single" w:color="000000" w:sz="4" w:space="0"/>
            </w:tcBorders>
            <w:noWrap/>
          </w:tcPr>
          <w:p>
            <w:pPr>
              <w:widowControl/>
              <w:jc w:val="left"/>
              <w:textAlignment w:val="top"/>
              <w:rPr>
                <w:rFonts w:hint="eastAsia" w:ascii="仿宋" w:hAnsi="仿宋" w:eastAsia="仿宋" w:cs="仿宋"/>
                <w:color w:val="000000"/>
                <w:sz w:val="22"/>
                <w:szCs w:val="22"/>
              </w:rPr>
            </w:pPr>
            <w:r>
              <w:rPr>
                <w:rFonts w:hint="eastAsia" w:ascii="仿宋" w:hAnsi="仿宋" w:eastAsia="仿宋" w:cs="仿宋"/>
                <w:color w:val="000000"/>
                <w:kern w:val="0"/>
                <w:sz w:val="22"/>
                <w:szCs w:val="22"/>
              </w:rPr>
              <w:t>6米杆，定制。含地笼安装</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根</w:t>
            </w:r>
          </w:p>
        </w:tc>
        <w:tc>
          <w:tcPr>
            <w:tcW w:w="28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501" w:hRule="atLeast"/>
        </w:trPr>
        <w:tc>
          <w:tcPr>
            <w:tcW w:w="4351"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ascii="仿宋" w:hAnsi="仿宋" w:eastAsia="仿宋" w:cs="仿宋"/>
                <w:color w:val="000000"/>
                <w:kern w:val="0"/>
                <w:sz w:val="22"/>
                <w:szCs w:val="22"/>
              </w:rPr>
            </w:pPr>
            <w:r>
              <w:rPr>
                <w:rFonts w:hint="eastAsia" w:ascii="仿宋" w:hAnsi="仿宋" w:eastAsia="仿宋" w:cs="仿宋"/>
                <w:color w:val="000000"/>
                <w:kern w:val="0"/>
                <w:sz w:val="22"/>
                <w:szCs w:val="22"/>
              </w:rPr>
              <w:t>合计</w:t>
            </w:r>
          </w:p>
        </w:tc>
        <w:tc>
          <w:tcPr>
            <w:tcW w:w="648"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s="仿宋"/>
                <w:color w:val="000000"/>
                <w:sz w:val="22"/>
                <w:szCs w:val="22"/>
              </w:rPr>
            </w:pPr>
            <w:r>
              <w:rPr>
                <w:rFonts w:hint="eastAsia" w:ascii="仿宋" w:hAnsi="仿宋" w:eastAsia="仿宋" w:cs="仿宋"/>
                <w:b/>
                <w:bCs/>
                <w:color w:val="000000"/>
                <w:kern w:val="0"/>
                <w:sz w:val="24"/>
              </w:rPr>
              <w:t>1560964.00元</w:t>
            </w:r>
          </w:p>
        </w:tc>
      </w:tr>
    </w:tbl>
    <w:p>
      <w:pPr>
        <w:rPr>
          <w:rFonts w:hint="eastAsia" w:ascii="仿宋" w:hAnsi="仿宋" w:eastAsia="仿宋" w:cs="仿宋"/>
          <w:color w:val="000000"/>
          <w:sz w:val="28"/>
          <w:szCs w:val="21"/>
        </w:rPr>
      </w:pPr>
      <w:r>
        <w:rPr>
          <w:rFonts w:hint="eastAsia" w:ascii="仿宋" w:hAnsi="仿宋" w:eastAsia="仿宋" w:cs="仿宋"/>
          <w:color w:val="000000"/>
          <w:sz w:val="28"/>
          <w:szCs w:val="21"/>
        </w:rPr>
        <w:br w:type="page"/>
      </w:r>
      <w:r>
        <w:rPr>
          <w:rFonts w:hint="eastAsia" w:ascii="仿宋" w:hAnsi="仿宋" w:eastAsia="仿宋" w:cs="仿宋"/>
          <w:color w:val="000000"/>
          <w:sz w:val="28"/>
          <w:szCs w:val="21"/>
        </w:rPr>
        <w:t>（2）洱源县茈碧湖镇乡村治理示范村项目软件部分（提供3年的质保服务、3年的维保服务）</w:t>
      </w:r>
    </w:p>
    <w:p>
      <w:pPr>
        <w:pStyle w:val="2"/>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开发技术要求：软件平台应基于JAVAEE架构开发，开发工具及程序打包使用IEDA2019.3及以上版本。</w:t>
      </w:r>
    </w:p>
    <w:p>
      <w:pPr>
        <w:pStyle w:val="2"/>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系统整体架构要求：包含app用户端（安卓）+小程序端+web后台管理端+大数据展示。</w:t>
      </w:r>
    </w:p>
    <w:tbl>
      <w:tblPr>
        <w:tblStyle w:val="10"/>
        <w:tblW w:w="4997" w:type="pct"/>
        <w:tblInd w:w="0" w:type="dxa"/>
        <w:tblLayout w:type="autofit"/>
        <w:tblCellMar>
          <w:top w:w="0" w:type="dxa"/>
          <w:left w:w="108" w:type="dxa"/>
          <w:bottom w:w="0" w:type="dxa"/>
          <w:right w:w="108" w:type="dxa"/>
        </w:tblCellMar>
      </w:tblPr>
      <w:tblGrid>
        <w:gridCol w:w="1074"/>
        <w:gridCol w:w="1162"/>
        <w:gridCol w:w="2004"/>
        <w:gridCol w:w="5596"/>
        <w:gridCol w:w="1899"/>
        <w:gridCol w:w="1074"/>
        <w:gridCol w:w="1402"/>
      </w:tblGrid>
      <w:tr>
        <w:tblPrEx>
          <w:tblCellMar>
            <w:top w:w="0" w:type="dxa"/>
            <w:left w:w="108" w:type="dxa"/>
            <w:bottom w:w="0" w:type="dxa"/>
            <w:right w:w="108" w:type="dxa"/>
          </w:tblCellMar>
        </w:tblPrEx>
        <w:trPr>
          <w:trHeight w:val="310" w:hRule="atLeast"/>
        </w:trPr>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序号</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二级模块</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功能</w:t>
            </w:r>
          </w:p>
        </w:tc>
        <w:tc>
          <w:tcPr>
            <w:tcW w:w="19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简述</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web后台管理端</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app端</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小程序端</w:t>
            </w:r>
          </w:p>
        </w:tc>
      </w:tr>
      <w:tr>
        <w:tblPrEx>
          <w:tblCellMar>
            <w:top w:w="0" w:type="dxa"/>
            <w:left w:w="108" w:type="dxa"/>
            <w:bottom w:w="0" w:type="dxa"/>
            <w:right w:w="108" w:type="dxa"/>
          </w:tblCellMar>
        </w:tblPrEx>
        <w:trPr>
          <w:trHeight w:val="28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非功能板块</w:t>
            </w:r>
          </w:p>
        </w:tc>
        <w:tc>
          <w:tcPr>
            <w:tcW w:w="7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首页轮播</w:t>
            </w:r>
          </w:p>
        </w:tc>
        <w:tc>
          <w:tcPr>
            <w:tcW w:w="19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28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模块自定义</w:t>
            </w:r>
          </w:p>
        </w:tc>
        <w:tc>
          <w:tcPr>
            <w:tcW w:w="19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28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分区域权限</w:t>
            </w:r>
          </w:p>
        </w:tc>
        <w:tc>
          <w:tcPr>
            <w:tcW w:w="19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28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分角色权限</w:t>
            </w:r>
          </w:p>
        </w:tc>
        <w:tc>
          <w:tcPr>
            <w:tcW w:w="19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30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服务管理</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三务公开</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通过图文发布的形式，实现政务宣传、党务监督、财务公开和村规民约的信息发布。充分运用手机、电脑等载体为村民提供信息服务，促进政务公开，村民通过多渠道，随时随地了解各种信息，为他们排忧解难，提高政府工作的透明度全面保障人民群众的知情权、参与权和监督权。</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56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人员管理</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以房屋为数据采集维度，进行相关人员信息，并统计，并对重点关注人员进行标签，管理员通过手机APP实现实时查询以及修改并生成表格，结合大数据可视乎，对村中的人员基础信息、重点人群等进行直观的预览，提供关键人员检索功能（如：残疾人、五保户、两劳人员、致富带头人等）。方便村委的日常人员管理工作。</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82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eastAsia="zh-CN"/>
              </w:rPr>
              <w:t>疫情防控</w:t>
            </w:r>
            <w:r>
              <w:rPr>
                <w:rFonts w:hint="eastAsia" w:ascii="仿宋" w:hAnsi="仿宋" w:eastAsia="仿宋" w:cs="仿宋"/>
                <w:color w:val="000000"/>
                <w:kern w:val="0"/>
                <w:sz w:val="22"/>
                <w:szCs w:val="22"/>
              </w:rPr>
              <w:t>管理模块</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疫情上</w:t>
            </w:r>
            <w:bookmarkStart w:id="1" w:name="_GoBack"/>
            <w:bookmarkEnd w:id="1"/>
            <w:r>
              <w:rPr>
                <w:rFonts w:hint="eastAsia" w:ascii="仿宋" w:hAnsi="仿宋" w:eastAsia="仿宋" w:cs="仿宋"/>
                <w:color w:val="000000"/>
                <w:kern w:val="0"/>
                <w:sz w:val="20"/>
                <w:szCs w:val="20"/>
              </w:rPr>
              <w:t>报</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村民可通过扫描二维码进行返乡报备，助力疫情防控。包含返乡人员、外来人员、流动人员的返回地、时间、交通工具、现居住地址、核酸检测报告等，尤其是对中高风险区回乡人员的基本信息、健康状况等数据的在线收集进行上报，村民也可上报身边疫情，确保信息不漏报迟报。村干部可以在线开展人员排查工作，及时掌握人员动向，根据实际情况安排部署防疫工作，提升各层级政府防疫能力和工作效率。</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82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防疫宣传</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 xml:space="preserve">管理员通过后台发布信息，APP展示方式及时有效的对疫情相关病理、防控知识进行科普，对重要国家政策及要求进行及时宣贯。做到村民疫情状况第一时间了解，防护措施第一时间通知，线上号召广大村民通过互联网积极参与疫情防控，主动向家人、亲友传递权威的疫情、防疫信息。帮助农村群众科学认识疫情，引导群众养成良好的卫生习惯，提高农村群众基础防范意识，和自我保护能力。 </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56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应急指挥</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视频监控</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视频监控可实现从乡镇、行政村的分权分域视频监控管理，可针对辖区下的摄像头实时监控、录像回放、截图、下载等操作。镇政府、村委可以直接通过平台进行有效的监控管理，同时提供手机APP，弥补了PC端的局限性，很好的满足了便捷性办公,提升办公效率.同时提升村民生活安全感，幸福感，起到综合治理，群治群防。</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82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大喇叭</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大喇叭可实现乡镇、行政村不同层级对于硬件设备的操作使用，通过手机APP一键喊话、文字转语音、音频文件播放、定时任务设置等方式为村民提供广播服务，涵盖日常广播、公共应急指挥、政策法规宣传、农业气象播报、农业知识普及、农村文化教育、农村娱乐生活等应用场景，为农村处理基层组织管理事务、了解村务、发展农村民主政治、应对农村突发事件、促进农村社会稳定有着重要作用。</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30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应急指挥终端</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语音及视频 PTT 通话及调度、实时的不间断的全双工音视频通信、实时的消息、图像及其他文件的收发、个呼、组呼、紧急呼叫、监听、强拆、强插等语音业务服务、提供可视单呼、可视组呼、视频上拉、视频下拉、视频推送、视频转发等视频业务服务。</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104"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违建监测</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智图系统</w:t>
            </w:r>
          </w:p>
        </w:tc>
        <w:tc>
          <w:tcPr>
            <w:tcW w:w="19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提供自主航线规划、飞行航拍、二维正射影像与三维模型重建的应用软件。一站式解决方案帮助行业用户全面提升航测内外业效率，将真实场景转化为数字资产。</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78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违建对比系统</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地图数据比对系统，比对模块用以对原始地图与即时地图进行比对扫描和分析，并将彼此不同信息定义为警告信息并生成相应报告。</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56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乡村综治</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森林防火</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利用高点监控视频流，融合图像识别技术、深度学习技术结合林业管理的专业知识和林业防火的经验，通过在丰源村的重点森林防火区域升级智能监控点，采用高精度网络云台摄像机和镜头实现全方位无死角的360°区域覆盖，实现火情的智能识别，通过大数据展示页面，及时提供告警信息，保护村民的生命财产，减小损失。</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68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车辆识别</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通过在主要路段设置车辆抓拍设备，建立车辆数据库，将先进的智能分析技术融入新一代卡口系统，在完善乡村管理的基础上，加强对停车场的核心区域和重点整治路段的车辆日常监管，提高道路的通行能力，从而大幅度提高乡村智能化管理水平。并将车辆信息、停车场空余位置等及时上传到指挥中心大数据页面，方便村委的指挥调度。</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12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垃圾隐患监测</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在指定区域部署智能警戒摄像机，可以准确检测到监控范围内的人体。当摄像机发现有人员通过重点监管区域时，就会传递信号给智慧音柱，随后音柱自动播放预先储存的音频文件并且语音还支持自定义修改和导入。</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2080" w:hRule="atLeast"/>
        </w:trPr>
        <w:tc>
          <w:tcPr>
            <w:tcW w:w="378"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color w:val="000000"/>
                <w:sz w:val="22"/>
                <w:szCs w:val="22"/>
              </w:rPr>
            </w:pPr>
          </w:p>
        </w:tc>
        <w:tc>
          <w:tcPr>
            <w:tcW w:w="409" w:type="pct"/>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手机端旅游一张图</w:t>
            </w:r>
          </w:p>
        </w:tc>
        <w:tc>
          <w:tcPr>
            <w:tcW w:w="196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rPr>
              <w:t>结合梨园村的特色旅游资源，进行一张图整合、游客无需注册通过微信扫描二维码，即可实时预览所有特色资源信息，并且可实现跳转地图实现导航功能。推广梨园村农家乐、特色美食、农产品等农旅产品，促进梨园村数字农旅产业发展，全面呈现农旅特色，提升品牌效益。一体化打造特色旅游区、围绕"吃、住、行、游、购、娱"进一步完善乡村旅游餐饮住宿、休闲娱乐、商品购物、文化展演、民宿体验等配套服务，优化设计文旅线路，实现产业发展、基础设施、居住环境同步提升。</w:t>
            </w:r>
          </w:p>
        </w:tc>
        <w:tc>
          <w:tcPr>
            <w:tcW w:w="6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1960" w:hRule="atLeast"/>
        </w:trPr>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治理一张图</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大数据统计</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运用“互联网+”、大数据等技术，以天地图形式提供统一管理入口，通过数据中心的数据汇集分析，大数据平台将各项数据图形化，可视化，满足数据分析、监测预警、指挥调度、分析决策及对外宣传需要（包含丰源村、梨园村各一张大数据展示页）。展示维度包括村情介绍、乡村基础数据、人员信息汇总、近期项目汇总、森林防火、车辆抓拍、垃圾监测、违章搭建告警信息。</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4200" w:hRule="atLeast"/>
        </w:trPr>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2"/>
                <w:szCs w:val="22"/>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2"/>
                <w:szCs w:val="22"/>
              </w:rPr>
            </w:pP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二级页面</w:t>
            </w:r>
          </w:p>
        </w:tc>
        <w:tc>
          <w:tcPr>
            <w:tcW w:w="19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组织管理：点击大数据页面组织管理打开二级页面  显示村委会领导列表，包含姓名、职务、年龄、联系电话、工作职责、个人简历相关信息。</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项目管理：点击项目管理打开二级页面显示后台上传项目信息详情（包含图片、文字）。</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疫情防控：点击疫情防控按钮打开二级页面显示返乡人员信息，包含姓名、上报时间、交通工具、车次、返回地址、返回时间、核酸情况、是否上传健康证明以及人员详情。</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森林防火：点击告警信息，可查看预警抓图图片、实时画面、预警录像、告警位置信息。方便及时指挥处理。</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垃圾监测：点击告警信息，可根据查看人员进入后生成抓拍图片。</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无人机告警：点击告警信息，可查看无人机平台经后端算法告警图片，相关差异进行标注显示。</w:t>
            </w:r>
          </w:p>
        </w:tc>
        <w:tc>
          <w:tcPr>
            <w:tcW w:w="66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3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c>
          <w:tcPr>
            <w:tcW w:w="49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w:t>
            </w:r>
          </w:p>
        </w:tc>
      </w:tr>
      <w:tr>
        <w:tblPrEx>
          <w:tblCellMar>
            <w:top w:w="0" w:type="dxa"/>
            <w:left w:w="108" w:type="dxa"/>
            <w:bottom w:w="0" w:type="dxa"/>
            <w:right w:w="108" w:type="dxa"/>
          </w:tblCellMar>
        </w:tblPrEx>
        <w:trPr>
          <w:trHeight w:val="800"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合计（元）：580000.00</w:t>
            </w:r>
          </w:p>
        </w:tc>
      </w:tr>
    </w:tbl>
    <w:p>
      <w:pPr>
        <w:rPr>
          <w:rFonts w:hint="eastAsia" w:ascii="仿宋" w:hAnsi="仿宋" w:eastAsia="仿宋" w:cs="仿宋"/>
          <w:color w:val="000000"/>
          <w:sz w:val="28"/>
          <w:szCs w:val="21"/>
        </w:rPr>
      </w:pPr>
      <w:r>
        <w:rPr>
          <w:rFonts w:hint="eastAsia" w:ascii="仿宋" w:hAnsi="仿宋" w:eastAsia="仿宋" w:cs="仿宋"/>
          <w:color w:val="000000"/>
          <w:sz w:val="28"/>
          <w:szCs w:val="21"/>
        </w:rPr>
        <w:br w:type="page"/>
      </w:r>
      <w:r>
        <w:rPr>
          <w:rFonts w:hint="eastAsia" w:ascii="仿宋" w:hAnsi="仿宋" w:eastAsia="仿宋" w:cs="仿宋"/>
          <w:color w:val="000000"/>
          <w:sz w:val="28"/>
          <w:szCs w:val="21"/>
        </w:rPr>
        <w:t>（3）洱源县茈碧湖镇乡村治理示范村项目网络及传输租用部分（提供60个月的质保服务、60个月的维保服务）</w:t>
      </w:r>
    </w:p>
    <w:tbl>
      <w:tblPr>
        <w:tblStyle w:val="10"/>
        <w:tblW w:w="0" w:type="auto"/>
        <w:tblInd w:w="0" w:type="dxa"/>
        <w:tblLayout w:type="fixed"/>
        <w:tblCellMar>
          <w:top w:w="0" w:type="dxa"/>
          <w:left w:w="108" w:type="dxa"/>
          <w:bottom w:w="0" w:type="dxa"/>
          <w:right w:w="108" w:type="dxa"/>
        </w:tblCellMar>
      </w:tblPr>
      <w:tblGrid>
        <w:gridCol w:w="964"/>
        <w:gridCol w:w="590"/>
        <w:gridCol w:w="1853"/>
        <w:gridCol w:w="1525"/>
        <w:gridCol w:w="6956"/>
        <w:gridCol w:w="590"/>
        <w:gridCol w:w="590"/>
        <w:gridCol w:w="1152"/>
      </w:tblGrid>
      <w:tr>
        <w:tblPrEx>
          <w:tblCellMar>
            <w:top w:w="0" w:type="dxa"/>
            <w:left w:w="108" w:type="dxa"/>
            <w:bottom w:w="0" w:type="dxa"/>
            <w:right w:w="108" w:type="dxa"/>
          </w:tblCellMar>
        </w:tblPrEx>
        <w:trPr>
          <w:trHeight w:val="400" w:hRule="atLeast"/>
        </w:trPr>
        <w:tc>
          <w:tcPr>
            <w:tcW w:w="9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项目地点</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序号</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产品类型</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产品内容</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产品参数</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数量</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单位</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租期（月）</w:t>
            </w:r>
          </w:p>
        </w:tc>
      </w:tr>
      <w:tr>
        <w:tblPrEx>
          <w:tblCellMar>
            <w:top w:w="0" w:type="dxa"/>
            <w:left w:w="108" w:type="dxa"/>
            <w:bottom w:w="0" w:type="dxa"/>
            <w:right w:w="108" w:type="dxa"/>
          </w:tblCellMar>
        </w:tblPrEx>
        <w:trPr>
          <w:trHeight w:val="400" w:hRule="atLeast"/>
        </w:trPr>
        <w:tc>
          <w:tcPr>
            <w:tcW w:w="96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梨园村</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梨园村村委会</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指挥中心传输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提供1条≥50M光纤专线，带固定IP地址，上下行带宽对称</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400万广角双目半球</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提供≥200M的宽带，且保障每路摄像头音视频内容本地存储≥30天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400万智能广角枪机</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提供≥200M的宽带，且保障每路摄像头音视频内容本地存储≥30天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客流统计</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提供≥200M的宽带，且保障每路摄像头音视频内容本地存储≥30天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车辆管控</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提供≥200M的宽带，且保障每路摄像头音视频内容本地存储≥30天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天翼大喇叭平台使用费</w:t>
            </w: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收扩机传输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每台收扩机提供1张流量≥10G，通话≥200分钟的SIM卡</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音柱传输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每台收扩机提供1张流量≥10G，通话≥200分钟的SIM卡</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w:t>
            </w: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IP话筒传输</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提供≥200M的宽带</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9</w:t>
            </w: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color w:val="000000"/>
                <w:sz w:val="22"/>
                <w:szCs w:val="22"/>
              </w:rPr>
            </w:pP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终端接入费</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保障IP话筒与收扩机均能接入平台正常使用</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码头LED户外屏</w:t>
            </w: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数据传输</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裸光纤</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11</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视频监控</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提供≥100M的宽带，且保障每路摄像头音视频内容远程存储≥30天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27</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丰源村</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视频监控</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提供≥100M的宽带，且保障每路摄像头音视频内容远程存储≥30天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乱扔垃圾预警</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提供≥300M的宽带，且保障每路摄像头音视频内容本地存储≥30天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水库全景监控</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提供≥300M的宽带，且保障每路摄像头音视频内容本地存储≥30天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车辆卡口</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提供≥300M的宽带，且保障每路摄像头音视频内容本地存储≥30天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5</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森林防火监控</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摄像头传输</w:t>
            </w:r>
          </w:p>
        </w:tc>
        <w:tc>
          <w:tcPr>
            <w:tcW w:w="6956" w:type="dxa"/>
            <w:tcBorders>
              <w:top w:val="single" w:color="000000" w:sz="4" w:space="0"/>
              <w:left w:val="single" w:color="000000" w:sz="4" w:space="0"/>
              <w:bottom w:val="single" w:color="000000" w:sz="4" w:space="0"/>
              <w:right w:val="single" w:color="000000" w:sz="4" w:space="0"/>
            </w:tcBorders>
            <w:noWrap/>
            <w:vAlign w:val="bottom"/>
          </w:tcPr>
          <w:p>
            <w:pPr>
              <w:widowControl/>
              <w:textAlignment w:val="bottom"/>
              <w:rPr>
                <w:rFonts w:hint="eastAsia" w:ascii="仿宋" w:hAnsi="仿宋" w:eastAsia="仿宋" w:cs="仿宋"/>
                <w:color w:val="000000"/>
                <w:szCs w:val="21"/>
              </w:rPr>
            </w:pPr>
            <w:r>
              <w:rPr>
                <w:rFonts w:hint="eastAsia" w:ascii="仿宋" w:hAnsi="仿宋" w:eastAsia="仿宋" w:cs="仿宋"/>
                <w:color w:val="000000"/>
                <w:kern w:val="0"/>
                <w:szCs w:val="21"/>
              </w:rPr>
              <w:t>提供上行≥50M，固定IP≥1个的专线，且保障每路摄像头音视频内容本地存储≥30天</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产业园区户外屏</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数据传输</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提供≥200M的宽带</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7</w:t>
            </w:r>
          </w:p>
        </w:tc>
        <w:tc>
          <w:tcPr>
            <w:tcW w:w="185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大喇叭</w:t>
            </w: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收扩机传输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每台收扩机提供1张流量≥10G，通话≥200分钟的SIM卡</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33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8</w:t>
            </w:r>
          </w:p>
        </w:tc>
        <w:tc>
          <w:tcPr>
            <w:tcW w:w="18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IP话筒传输</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提供≥200M的宽带</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9</w:t>
            </w:r>
          </w:p>
        </w:tc>
        <w:tc>
          <w:tcPr>
            <w:tcW w:w="185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1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终端接入费</w:t>
            </w:r>
          </w:p>
        </w:tc>
        <w:tc>
          <w:tcPr>
            <w:tcW w:w="695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rPr>
              <w:t>保障IP话筒与收扩机均能接入平台正常使用</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43</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项</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10</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应急指挥调度</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对讲机传输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每台收扩机提供1张流量≥15G，通话≥200分钟的SIM卡</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24</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11</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无人机</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无人机实时传输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每台收扩机提供1张流量≥15G，通话≥200分钟的SIM卡</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张</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400" w:hRule="atLeast"/>
        </w:trPr>
        <w:tc>
          <w:tcPr>
            <w:tcW w:w="96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color w:val="000000"/>
                <w:sz w:val="22"/>
                <w:szCs w:val="22"/>
              </w:rPr>
            </w:pP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12</w:t>
            </w:r>
          </w:p>
        </w:tc>
        <w:tc>
          <w:tcPr>
            <w:tcW w:w="1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丰源村村委会</w:t>
            </w:r>
          </w:p>
        </w:tc>
        <w:tc>
          <w:tcPr>
            <w:tcW w:w="15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rPr>
              <w:t>指挥中心传输</w:t>
            </w:r>
          </w:p>
        </w:tc>
        <w:tc>
          <w:tcPr>
            <w:tcW w:w="695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提供1条≥50M光纤专线，带固定IP地址，上下行带宽对称</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1</w:t>
            </w:r>
          </w:p>
        </w:tc>
        <w:tc>
          <w:tcPr>
            <w:tcW w:w="5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条</w:t>
            </w:r>
          </w:p>
        </w:tc>
        <w:tc>
          <w:tcPr>
            <w:tcW w:w="115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rPr>
              <w:t>60</w:t>
            </w:r>
          </w:p>
        </w:tc>
      </w:tr>
      <w:tr>
        <w:tblPrEx>
          <w:tblCellMar>
            <w:top w:w="0" w:type="dxa"/>
            <w:left w:w="108" w:type="dxa"/>
            <w:bottom w:w="0" w:type="dxa"/>
            <w:right w:w="108" w:type="dxa"/>
          </w:tblCellMar>
        </w:tblPrEx>
        <w:trPr>
          <w:trHeight w:val="310" w:hRule="atLeast"/>
        </w:trPr>
        <w:tc>
          <w:tcPr>
            <w:tcW w:w="12478" w:type="dxa"/>
            <w:gridSpan w:val="6"/>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仿宋" w:hAnsi="仿宋" w:eastAsia="仿宋" w:cs="仿宋"/>
                <w:b/>
                <w:bCs/>
                <w:color w:val="000000"/>
                <w:sz w:val="24"/>
              </w:rPr>
            </w:pPr>
            <w:r>
              <w:rPr>
                <w:rFonts w:hint="eastAsia" w:ascii="仿宋" w:hAnsi="仿宋" w:eastAsia="仿宋" w:cs="仿宋"/>
                <w:b/>
                <w:bCs/>
                <w:color w:val="000000"/>
                <w:kern w:val="0"/>
                <w:sz w:val="24"/>
              </w:rPr>
              <w:t>合计（元）</w:t>
            </w:r>
          </w:p>
        </w:tc>
        <w:tc>
          <w:tcPr>
            <w:tcW w:w="1742" w:type="dxa"/>
            <w:gridSpan w:val="2"/>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hint="eastAsia" w:ascii="仿宋" w:hAnsi="仿宋" w:eastAsia="仿宋" w:cs="仿宋"/>
                <w:b/>
                <w:bCs/>
                <w:color w:val="000000"/>
                <w:kern w:val="0"/>
                <w:sz w:val="24"/>
              </w:rPr>
            </w:pPr>
            <w:r>
              <w:rPr>
                <w:rFonts w:hint="eastAsia" w:ascii="仿宋" w:hAnsi="仿宋" w:eastAsia="仿宋" w:cs="仿宋"/>
                <w:color w:val="000000"/>
                <w:kern w:val="0"/>
                <w:sz w:val="22"/>
                <w:szCs w:val="22"/>
              </w:rPr>
              <w:t>858960.00</w:t>
            </w:r>
          </w:p>
        </w:tc>
      </w:tr>
    </w:tbl>
    <w:p>
      <w:pPr>
        <w:pStyle w:val="9"/>
        <w:ind w:firstLine="0" w:firstLineChars="0"/>
        <w:rPr>
          <w:rFonts w:hint="eastAsia" w:ascii="仿宋" w:hAnsi="仿宋" w:eastAsia="仿宋" w:cs="仿宋"/>
          <w:b/>
          <w:color w:val="000000"/>
          <w:sz w:val="44"/>
          <w:szCs w:val="44"/>
        </w:rPr>
        <w:sectPr>
          <w:footerReference r:id="rId3" w:type="default"/>
          <w:pgSz w:w="16838" w:h="11906" w:orient="landscape"/>
          <w:pgMar w:top="1587" w:right="1417" w:bottom="1417" w:left="1417" w:header="851" w:footer="992" w:gutter="0"/>
          <w:pgNumType w:fmt="numberInDash"/>
          <w:cols w:space="720" w:num="1"/>
          <w:docGrid w:linePitch="312" w:charSpace="0"/>
        </w:sectPr>
      </w:pPr>
    </w:p>
    <w:p>
      <w:pPr>
        <w:rPr>
          <w:color w:val="000000"/>
        </w:rPr>
      </w:pPr>
    </w:p>
    <w:sectPr>
      <w:headerReference r:id="rId4" w:type="default"/>
      <w:footerReference r:id="rId5" w:type="default"/>
      <w:pgSz w:w="11906" w:h="16838"/>
      <w:pgMar w:top="1440" w:right="1080" w:bottom="1440" w:left="108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FangSong_GB2312">
    <w:altName w:val="仿宋_GB2312"/>
    <w:panose1 w:val="02010609060101010101"/>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黑体" w:hAnsi="黑体" w:eastAsia="黑体" w:cs="黑体"/>
        <w:b/>
        <w:bCs/>
      </w:rPr>
      <w:t>-</w:t>
    </w:r>
    <w:r>
      <w:rPr>
        <w:rFonts w:hint="eastAsia" w:ascii="黑体" w:hAnsi="黑体" w:eastAsia="黑体" w:cs="黑体"/>
        <w:b/>
        <w:bCs/>
      </w:rPr>
      <w:fldChar w:fldCharType="begin"/>
    </w:r>
    <w:r>
      <w:rPr>
        <w:rFonts w:hint="eastAsia" w:ascii="黑体" w:hAnsi="黑体" w:eastAsia="黑体" w:cs="黑体"/>
        <w:b/>
        <w:bCs/>
      </w:rPr>
      <w:instrText xml:space="preserve">PAGE   \* MERGEFORMAT</w:instrText>
    </w:r>
    <w:r>
      <w:rPr>
        <w:rFonts w:hint="eastAsia" w:ascii="黑体" w:hAnsi="黑体" w:eastAsia="黑体" w:cs="黑体"/>
        <w:b/>
        <w:bCs/>
      </w:rPr>
      <w:fldChar w:fldCharType="separate"/>
    </w:r>
    <w:r>
      <w:rPr>
        <w:rFonts w:ascii="黑体" w:hAnsi="黑体" w:eastAsia="黑体" w:cs="黑体"/>
        <w:b/>
        <w:bCs/>
        <w:lang w:val="zh-CN"/>
      </w:rPr>
      <w:t>-</w:t>
    </w:r>
    <w:r>
      <w:rPr>
        <w:rFonts w:ascii="黑体" w:hAnsi="黑体" w:eastAsia="黑体" w:cs="黑体"/>
        <w:b/>
        <w:bCs/>
      </w:rPr>
      <w:t xml:space="preserve"> 7 -</w:t>
    </w:r>
    <w:r>
      <w:rPr>
        <w:rFonts w:hint="eastAsia" w:ascii="黑体" w:hAnsi="黑体" w:eastAsia="黑体" w:cs="黑体"/>
        <w:b/>
        <w:bCs/>
      </w:rPr>
      <w:fldChar w:fldCharType="end"/>
    </w:r>
    <w:r>
      <w:rPr>
        <w:rFonts w:hint="eastAsia" w:ascii="黑体" w:hAnsi="黑体" w:eastAsia="黑体" w:cs="黑体"/>
        <w:b/>
        <w:bCs/>
      </w:rPr>
      <w:t>-</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rPr>
        <w:rFonts w:hint="eastAsia" w:ascii="黑体" w:eastAsia="黑体"/>
        <w:b/>
        <w:u w:val="single"/>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w:r>
  </w:p>
  <w:p>
    <w:pPr>
      <w:pStyle w:val="7"/>
      <w:jc w:val="center"/>
      <w:rPr>
        <w:rFonts w:hint="eastAsia" w:ascii="黑体" w:hAnsi="黑体" w:eastAsia="黑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黑体" w:hAnsi="黑体" w:eastAsia="黑体" w:cs="宋体"/>
        <w:b/>
        <w:bCs/>
        <w:sz w:val="15"/>
        <w:szCs w:val="15"/>
      </w:rPr>
    </w:pPr>
    <w:r>
      <w:rPr>
        <w:rFonts w:hint="eastAsia" w:ascii="黑体" w:hAnsi="黑体" w:eastAsia="黑体" w:cs="宋体"/>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pStyle w:val="3"/>
      <w:lvlText w:val="%1"/>
      <w:lvlJc w:val="left"/>
      <w:pPr>
        <w:tabs>
          <w:tab w:val="left" w:pos="720"/>
        </w:tabs>
        <w:ind w:left="644" w:hanging="284"/>
      </w:pPr>
      <w:rPr>
        <w:rFonts w:hint="default" w:ascii="Times New Roman" w:hAnsi="Times New Roman"/>
        <w:b/>
        <w:i w:val="0"/>
        <w:sz w:val="28"/>
      </w:rPr>
    </w:lvl>
    <w:lvl w:ilvl="1" w:tentative="0">
      <w:start w:val="1"/>
      <w:numFmt w:val="decimal"/>
      <w:pStyle w:val="4"/>
      <w:lvlText w:val="%1.%2"/>
      <w:lvlJc w:val="left"/>
      <w:pPr>
        <w:tabs>
          <w:tab w:val="left" w:pos="1381"/>
        </w:tabs>
        <w:ind w:left="1381" w:hanging="596"/>
      </w:pPr>
      <w:rPr>
        <w:rFonts w:hint="default" w:ascii="Times New Roman" w:hAnsi="Times New Roman"/>
        <w:b/>
        <w:i w:val="0"/>
        <w:sz w:val="28"/>
      </w:rPr>
    </w:lvl>
    <w:lvl w:ilvl="2" w:tentative="0">
      <w:start w:val="1"/>
      <w:numFmt w:val="decimal"/>
      <w:lvlText w:val="%1.%2.%3"/>
      <w:lvlJc w:val="left"/>
      <w:pPr>
        <w:tabs>
          <w:tab w:val="left" w:pos="1948"/>
        </w:tabs>
        <w:ind w:left="1948" w:hanging="737"/>
      </w:pPr>
      <w:rPr>
        <w:rFonts w:hint="default" w:ascii="Times New Roman" w:hAnsi="Times New Roman"/>
        <w:b/>
        <w:i w:val="0"/>
        <w:sz w:val="24"/>
      </w:rPr>
    </w:lvl>
    <w:lvl w:ilvl="3" w:tentative="0">
      <w:start w:val="1"/>
      <w:numFmt w:val="decimal"/>
      <w:lvlText w:val="%1.%2.%3.%4"/>
      <w:lvlJc w:val="left"/>
      <w:pPr>
        <w:tabs>
          <w:tab w:val="left" w:pos="2515"/>
        </w:tabs>
        <w:ind w:left="2515" w:hanging="1078"/>
      </w:pPr>
      <w:rPr>
        <w:rFonts w:hint="default" w:ascii="Arial" w:hAnsi="Arial"/>
        <w:b w:val="0"/>
        <w:i w:val="0"/>
        <w:sz w:val="24"/>
      </w:rPr>
    </w:lvl>
    <w:lvl w:ilvl="4" w:tentative="0">
      <w:start w:val="1"/>
      <w:numFmt w:val="decimal"/>
      <w:lvlText w:val="%1.%2.%3.%4.%5"/>
      <w:lvlJc w:val="left"/>
      <w:pPr>
        <w:tabs>
          <w:tab w:val="left" w:pos="3501"/>
        </w:tabs>
        <w:ind w:left="2911" w:hanging="850"/>
      </w:pPr>
      <w:rPr>
        <w:rFonts w:hint="eastAsia"/>
      </w:rPr>
    </w:lvl>
    <w:lvl w:ilvl="5" w:tentative="0">
      <w:start w:val="1"/>
      <w:numFmt w:val="decimal"/>
      <w:lvlText w:val="%1.%2.%3.%4.%5.%6"/>
      <w:lvlJc w:val="left"/>
      <w:pPr>
        <w:tabs>
          <w:tab w:val="left" w:pos="3926"/>
        </w:tabs>
        <w:ind w:left="3620" w:hanging="1134"/>
      </w:pPr>
      <w:rPr>
        <w:rFonts w:hint="eastAsia"/>
      </w:rPr>
    </w:lvl>
    <w:lvl w:ilvl="6" w:tentative="0">
      <w:start w:val="1"/>
      <w:numFmt w:val="decimal"/>
      <w:lvlText w:val="%1.%2.%3.%4.%5.%6.%7"/>
      <w:lvlJc w:val="left"/>
      <w:pPr>
        <w:tabs>
          <w:tab w:val="left" w:pos="4711"/>
        </w:tabs>
        <w:ind w:left="4187" w:hanging="1276"/>
      </w:pPr>
      <w:rPr>
        <w:rFonts w:hint="eastAsia"/>
      </w:rPr>
    </w:lvl>
    <w:lvl w:ilvl="7" w:tentative="0">
      <w:start w:val="1"/>
      <w:numFmt w:val="decimal"/>
      <w:lvlText w:val="%1.%2.%3.%4.%5.%6.%7.%8"/>
      <w:lvlJc w:val="left"/>
      <w:pPr>
        <w:tabs>
          <w:tab w:val="left" w:pos="5496"/>
        </w:tabs>
        <w:ind w:left="4754" w:hanging="1418"/>
      </w:pPr>
      <w:rPr>
        <w:rFonts w:hint="eastAsia"/>
      </w:rPr>
    </w:lvl>
    <w:lvl w:ilvl="8" w:tentative="0">
      <w:start w:val="1"/>
      <w:numFmt w:val="decimal"/>
      <w:lvlText w:val="%1.%2.%3.%4.%5.%6.%7.%8.%9"/>
      <w:lvlJc w:val="left"/>
      <w:pPr>
        <w:tabs>
          <w:tab w:val="left" w:pos="5922"/>
        </w:tabs>
        <w:ind w:left="5462" w:hanging="1700"/>
      </w:pPr>
      <w:rPr>
        <w:rFonts w:hint="eastAsia"/>
      </w:rPr>
    </w:lvl>
  </w:abstractNum>
  <w:abstractNum w:abstractNumId="1">
    <w:nsid w:val="30903CE8"/>
    <w:multiLevelType w:val="singleLevel"/>
    <w:tmpl w:val="30903CE8"/>
    <w:lvl w:ilvl="0" w:tentative="0">
      <w:start w:val="1"/>
      <w:numFmt w:val="decimal"/>
      <w:suff w:val="nothing"/>
      <w:lvlText w:val="（%1）"/>
      <w:lvlJc w:val="left"/>
      <w:pPr>
        <w:ind w:left="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M0NjlhNjA3YTQ3NDIyNWY5YjJkZTBiMjlmNjQzOWUifQ=="/>
  </w:docVars>
  <w:rsids>
    <w:rsidRoot w:val="0076640F"/>
    <w:rsid w:val="0026670B"/>
    <w:rsid w:val="004B438A"/>
    <w:rsid w:val="0076640F"/>
    <w:rsid w:val="04C84F03"/>
    <w:rsid w:val="071559B4"/>
    <w:rsid w:val="096D57FC"/>
    <w:rsid w:val="09BC3417"/>
    <w:rsid w:val="0CDA4588"/>
    <w:rsid w:val="0D976089"/>
    <w:rsid w:val="10F342D8"/>
    <w:rsid w:val="119565B6"/>
    <w:rsid w:val="136466A6"/>
    <w:rsid w:val="1C8E4394"/>
    <w:rsid w:val="1E8272B9"/>
    <w:rsid w:val="23FD17E6"/>
    <w:rsid w:val="275A3C61"/>
    <w:rsid w:val="27DA13F2"/>
    <w:rsid w:val="305C09B7"/>
    <w:rsid w:val="3178342D"/>
    <w:rsid w:val="35D379F2"/>
    <w:rsid w:val="3A345AF9"/>
    <w:rsid w:val="3AF07F7C"/>
    <w:rsid w:val="3B840CF0"/>
    <w:rsid w:val="3BC67EC2"/>
    <w:rsid w:val="3D7860AF"/>
    <w:rsid w:val="3D8D3330"/>
    <w:rsid w:val="3DB5574D"/>
    <w:rsid w:val="4118582F"/>
    <w:rsid w:val="452F04B2"/>
    <w:rsid w:val="45E16312"/>
    <w:rsid w:val="4AEC5B09"/>
    <w:rsid w:val="4ECB0DDF"/>
    <w:rsid w:val="53BD4179"/>
    <w:rsid w:val="5777675B"/>
    <w:rsid w:val="5A2F102A"/>
    <w:rsid w:val="5DAF76A4"/>
    <w:rsid w:val="60B46622"/>
    <w:rsid w:val="62732180"/>
    <w:rsid w:val="67046F64"/>
    <w:rsid w:val="74F90F4B"/>
    <w:rsid w:val="74FC0B08"/>
    <w:rsid w:val="77740F11"/>
    <w:rsid w:val="77876861"/>
    <w:rsid w:val="7BDC087A"/>
    <w:rsid w:val="7BEC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tabs>
        <w:tab w:val="left" w:pos="360"/>
      </w:tabs>
      <w:adjustRightInd w:val="0"/>
      <w:spacing w:before="120" w:line="360" w:lineRule="auto"/>
      <w:textAlignment w:val="baseline"/>
      <w:outlineLvl w:val="0"/>
    </w:pPr>
    <w:rPr>
      <w:rFonts w:eastAsia="黑体"/>
      <w:b/>
      <w:kern w:val="44"/>
      <w:sz w:val="28"/>
      <w:szCs w:val="20"/>
    </w:rPr>
  </w:style>
  <w:style w:type="paragraph" w:styleId="4">
    <w:name w:val="heading 2"/>
    <w:basedOn w:val="1"/>
    <w:next w:val="1"/>
    <w:qFormat/>
    <w:uiPriority w:val="0"/>
    <w:pPr>
      <w:keepNext/>
      <w:numPr>
        <w:ilvl w:val="1"/>
        <w:numId w:val="1"/>
      </w:numPr>
      <w:tabs>
        <w:tab w:val="left" w:pos="1021"/>
      </w:tabs>
      <w:adjustRightInd w:val="0"/>
      <w:spacing w:before="120" w:line="360" w:lineRule="auto"/>
      <w:textAlignment w:val="baseline"/>
      <w:outlineLvl w:val="1"/>
    </w:pPr>
    <w:rPr>
      <w:rFonts w:eastAsia="黑体"/>
      <w:b/>
      <w:kern w:val="0"/>
      <w:sz w:val="28"/>
      <w:szCs w:val="20"/>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firstLineChars="200"/>
    </w:pPr>
  </w:style>
  <w:style w:type="paragraph" w:styleId="6">
    <w:name w:val="Plain Text"/>
    <w:basedOn w:val="1"/>
    <w:next w:val="1"/>
    <w:qFormat/>
    <w:uiPriority w:val="0"/>
    <w:rPr>
      <w:rFonts w:ascii="宋体"/>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2"/>
    <w:qFormat/>
    <w:uiPriority w:val="0"/>
    <w:pPr>
      <w:ind w:firstLine="420" w:firstLineChars="100"/>
    </w:pPr>
    <w:rPr>
      <w:rFonts w:eastAsia="FangSong_GB2312"/>
      <w:sz w:val="3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qFormat/>
    <w:uiPriority w:val="0"/>
  </w:style>
  <w:style w:type="character" w:styleId="14">
    <w:name w:val="FollowedHyperlink"/>
    <w:basedOn w:val="12"/>
    <w:uiPriority w:val="0"/>
    <w:rPr>
      <w:color w:val="484A4B"/>
      <w:u w:val="none"/>
    </w:rPr>
  </w:style>
  <w:style w:type="character" w:styleId="15">
    <w:name w:val="Emphasis"/>
    <w:basedOn w:val="12"/>
    <w:qFormat/>
    <w:uiPriority w:val="0"/>
    <w:rPr>
      <w:i/>
      <w:color w:val="D8800E"/>
    </w:rPr>
  </w:style>
  <w:style w:type="character" w:styleId="16">
    <w:name w:val="Hyperlink"/>
    <w:basedOn w:val="12"/>
    <w:autoRedefine/>
    <w:qFormat/>
    <w:uiPriority w:val="0"/>
    <w:rPr>
      <w:color w:val="484A4B"/>
      <w:u w:val="none"/>
    </w:rPr>
  </w:style>
  <w:style w:type="character" w:customStyle="1" w:styleId="17">
    <w:name w:val="time"/>
    <w:basedOn w:val="12"/>
    <w:autoRedefine/>
    <w:qFormat/>
    <w:uiPriority w:val="0"/>
  </w:style>
  <w:style w:type="character" w:customStyle="1" w:styleId="18">
    <w:name w:val="font41"/>
    <w:basedOn w:val="12"/>
    <w:autoRedefine/>
    <w:qFormat/>
    <w:uiPriority w:val="0"/>
    <w:rPr>
      <w:rFonts w:hint="eastAsia" w:ascii="仿宋" w:hAnsi="仿宋" w:eastAsia="仿宋" w:cs="仿宋"/>
      <w:color w:val="000000"/>
      <w:sz w:val="24"/>
      <w:szCs w:val="24"/>
      <w:u w:val="none"/>
    </w:rPr>
  </w:style>
  <w:style w:type="character" w:customStyle="1" w:styleId="19">
    <w:name w:val="font01"/>
    <w:basedOn w:val="12"/>
    <w:autoRedefine/>
    <w:qFormat/>
    <w:uiPriority w:val="0"/>
    <w:rPr>
      <w:rFonts w:hint="eastAsia" w:ascii="宋体" w:hAnsi="宋体" w:eastAsia="宋体" w:cs="宋体"/>
      <w:color w:val="000000"/>
      <w:sz w:val="20"/>
      <w:szCs w:val="20"/>
      <w:u w:val="none"/>
    </w:rPr>
  </w:style>
  <w:style w:type="character" w:customStyle="1" w:styleId="20">
    <w:name w:val="font131"/>
    <w:basedOn w:val="12"/>
    <w:autoRedefine/>
    <w:qFormat/>
    <w:uiPriority w:val="0"/>
    <w:rPr>
      <w:rFonts w:hint="default" w:ascii="Calibri" w:hAnsi="Calibri" w:cs="Calibri"/>
      <w:color w:val="000000"/>
      <w:sz w:val="20"/>
      <w:szCs w:val="20"/>
      <w:u w:val="none"/>
    </w:rPr>
  </w:style>
  <w:style w:type="character" w:customStyle="1" w:styleId="21">
    <w:name w:val="font11"/>
    <w:basedOn w:val="12"/>
    <w:autoRedefine/>
    <w:qFormat/>
    <w:uiPriority w:val="0"/>
    <w:rPr>
      <w:rFonts w:hint="eastAsia" w:ascii="仿宋" w:hAnsi="仿宋" w:eastAsia="仿宋" w:cs="仿宋"/>
      <w:color w:val="FF0000"/>
      <w:sz w:val="24"/>
      <w:szCs w:val="24"/>
      <w:u w:val="none"/>
    </w:rPr>
  </w:style>
  <w:style w:type="character" w:customStyle="1" w:styleId="22">
    <w:name w:val="font111"/>
    <w:basedOn w:val="12"/>
    <w:autoRedefine/>
    <w:qFormat/>
    <w:uiPriority w:val="0"/>
    <w:rPr>
      <w:rFonts w:hint="default" w:ascii="Calibri" w:hAnsi="Calibri" w:cs="Calibri"/>
      <w:color w:val="000000"/>
      <w:sz w:val="20"/>
      <w:szCs w:val="20"/>
      <w:u w:val="none"/>
    </w:rPr>
  </w:style>
  <w:style w:type="character" w:customStyle="1" w:styleId="23">
    <w:name w:val="datebox1"/>
    <w:basedOn w:val="12"/>
    <w:autoRedefine/>
    <w:qFormat/>
    <w:uiPriority w:val="0"/>
  </w:style>
  <w:style w:type="character" w:customStyle="1" w:styleId="24">
    <w:name w:val="datebox"/>
    <w:basedOn w:val="12"/>
    <w:autoRedefine/>
    <w:qFormat/>
    <w:uiPriority w:val="0"/>
  </w:style>
  <w:style w:type="character" w:customStyle="1" w:styleId="25">
    <w:name w:val="active6"/>
    <w:basedOn w:val="12"/>
    <w:autoRedefine/>
    <w:qFormat/>
    <w:uiPriority w:val="0"/>
  </w:style>
  <w:style w:type="character" w:customStyle="1" w:styleId="26">
    <w:name w:val="font81"/>
    <w:basedOn w:val="12"/>
    <w:autoRedefine/>
    <w:qFormat/>
    <w:uiPriority w:val="0"/>
    <w:rPr>
      <w:rFonts w:hint="eastAsia" w:ascii="宋体" w:hAnsi="宋体" w:eastAsia="宋体" w:cs="宋体"/>
      <w:b/>
      <w:bCs/>
      <w:color w:val="000000"/>
      <w:sz w:val="20"/>
      <w:szCs w:val="20"/>
      <w:u w:val="none"/>
    </w:rPr>
  </w:style>
  <w:style w:type="character" w:customStyle="1" w:styleId="27">
    <w:name w:val="font122"/>
    <w:basedOn w:val="12"/>
    <w:autoRedefine/>
    <w:qFormat/>
    <w:uiPriority w:val="0"/>
    <w:rPr>
      <w:rFonts w:ascii="Calibri" w:hAnsi="Calibri" w:cs="Calibri"/>
      <w:color w:val="000000"/>
      <w:sz w:val="20"/>
      <w:szCs w:val="20"/>
      <w:u w:val="none"/>
    </w:rPr>
  </w:style>
  <w:style w:type="paragraph" w:customStyle="1" w:styleId="28">
    <w:name w:val="List Paragraph"/>
    <w:basedOn w:val="1"/>
    <w:autoRedefine/>
    <w:qFormat/>
    <w:uiPriority w:val="0"/>
    <w:pPr>
      <w:ind w:firstLine="420" w:firstLineChars="200"/>
    </w:pPr>
    <w:rPr>
      <w:rFonts w:ascii="Calibri" w:hAnsi="Calibri"/>
      <w:szCs w:val="22"/>
    </w:rPr>
  </w:style>
  <w:style w:type="paragraph" w:customStyle="1" w:styleId="29">
    <w:name w:val="样式 首行缩进:  2 字符"/>
    <w:basedOn w:val="1"/>
    <w:autoRedefine/>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6051</Words>
  <Characters>34496</Characters>
  <Lines>287</Lines>
  <Paragraphs>80</Paragraphs>
  <TotalTime>2</TotalTime>
  <ScaleCrop>false</ScaleCrop>
  <LinksUpToDate>false</LinksUpToDate>
  <CharactersWithSpaces>40467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2022-07-19T09:20:00Z</dcterms:created>
  <dc:creator>Administrator</dc:creator>
  <cp:lastModifiedBy>lenovo</cp:lastModifiedBy>
  <cp:lastPrinted>2022-07-19T02:32:00Z</cp:lastPrinted>
  <dcterms:modified xsi:type="dcterms:W3CDTF">2024-03-14T01:37:02Z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CE4B8E1C5E3744BBABF1F955A9249EAA</vt:lpwstr>
  </property>
</Properties>
</file>